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FFE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eastAsiaTheme="majorEastAsia"/>
          <w:b/>
          <w:sz w:val="44"/>
          <w:szCs w:val="44"/>
          <w:highlight w:val="none"/>
        </w:rPr>
      </w:pPr>
      <w:r>
        <w:rPr>
          <w:rFonts w:hint="eastAsia" w:ascii="Times New Roman" w:hAnsi="Times New Roman" w:cs="Times New Roman" w:eastAsiaTheme="majorEastAsia"/>
          <w:b/>
          <w:sz w:val="44"/>
          <w:szCs w:val="44"/>
          <w:highlight w:val="none"/>
          <w:lang w:eastAsia="zh-CN"/>
        </w:rPr>
        <w:t>法库</w:t>
      </w:r>
      <w:r>
        <w:rPr>
          <w:rFonts w:hint="default" w:ascii="Times New Roman" w:hAnsi="Times New Roman" w:cs="Times New Roman" w:eastAsiaTheme="majorEastAsia"/>
          <w:b/>
          <w:sz w:val="44"/>
          <w:szCs w:val="44"/>
          <w:highlight w:val="none"/>
        </w:rPr>
        <w:t>县202</w:t>
      </w:r>
      <w:r>
        <w:rPr>
          <w:rFonts w:hint="default" w:ascii="Times New Roman" w:hAnsi="Times New Roman" w:cs="Times New Roman" w:eastAsiaTheme="majorEastAsia"/>
          <w:b/>
          <w:sz w:val="44"/>
          <w:szCs w:val="44"/>
          <w:highlight w:val="none"/>
          <w:lang w:val="en-US" w:eastAsia="zh-CN"/>
        </w:rPr>
        <w:t>5</w:t>
      </w:r>
      <w:r>
        <w:rPr>
          <w:rFonts w:hint="default" w:ascii="Times New Roman" w:hAnsi="Times New Roman" w:cs="Times New Roman" w:eastAsiaTheme="majorEastAsia"/>
          <w:b/>
          <w:sz w:val="44"/>
          <w:szCs w:val="44"/>
          <w:highlight w:val="none"/>
        </w:rPr>
        <w:t>年度政府预算公开情况说明</w:t>
      </w:r>
    </w:p>
    <w:p w14:paraId="02E00156">
      <w:pPr>
        <w:keepNext w:val="0"/>
        <w:keepLines w:val="0"/>
        <w:pageBreakBefore w:val="0"/>
        <w:widowControl w:val="0"/>
        <w:kinsoku/>
        <w:wordWrap/>
        <w:overflowPunct/>
        <w:topLinePunct w:val="0"/>
        <w:autoSpaceDE/>
        <w:autoSpaceDN/>
        <w:bidi w:val="0"/>
        <w:adjustRightInd/>
        <w:snapToGrid/>
        <w:spacing w:line="560" w:lineRule="exact"/>
        <w:ind w:firstLine="201" w:firstLineChars="200"/>
        <w:textAlignment w:val="auto"/>
        <w:rPr>
          <w:rFonts w:hint="default" w:ascii="Times New Roman" w:hAnsi="Times New Roman" w:eastAsia="仿宋" w:cs="Times New Roman"/>
          <w:b/>
          <w:sz w:val="10"/>
          <w:szCs w:val="10"/>
          <w:highlight w:val="none"/>
        </w:rPr>
      </w:pPr>
    </w:p>
    <w:p w14:paraId="44B58B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一、转移支付情况</w:t>
      </w:r>
    </w:p>
    <w:p w14:paraId="2FB63DA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法库</w:t>
      </w:r>
      <w:r>
        <w:rPr>
          <w:rFonts w:hint="default" w:ascii="Times New Roman" w:hAnsi="Times New Roman" w:eastAsia="仿宋_GB2312" w:cs="Times New Roman"/>
          <w:color w:val="auto"/>
          <w:sz w:val="32"/>
          <w:szCs w:val="32"/>
          <w:highlight w:val="none"/>
        </w:rPr>
        <w:t>县202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年一般公共预算转移支付收入</w:t>
      </w:r>
      <w:r>
        <w:rPr>
          <w:rFonts w:hint="default" w:ascii="Times New Roman" w:hAnsi="Times New Roman" w:eastAsia="仿宋_GB2312" w:cs="Times New Roman"/>
          <w:color w:val="auto"/>
          <w:sz w:val="32"/>
          <w:szCs w:val="32"/>
          <w:highlight w:val="none"/>
          <w:lang w:val="en-US" w:eastAsia="zh-CN"/>
        </w:rPr>
        <w:t>预计为</w:t>
      </w:r>
      <w:r>
        <w:rPr>
          <w:rFonts w:hint="eastAsia" w:ascii="Times New Roman" w:hAnsi="Times New Roman" w:eastAsia="仿宋_GB2312" w:cs="Times New Roman"/>
          <w:color w:val="auto"/>
          <w:sz w:val="32"/>
          <w:szCs w:val="32"/>
          <w:highlight w:val="none"/>
          <w:lang w:val="en-US" w:eastAsia="zh-CN"/>
        </w:rPr>
        <w:t>27.12</w:t>
      </w:r>
      <w:r>
        <w:rPr>
          <w:rFonts w:hint="default" w:ascii="Times New Roman" w:hAnsi="Times New Roman" w:eastAsia="仿宋_GB2312" w:cs="Times New Roman"/>
          <w:color w:val="auto"/>
          <w:sz w:val="32"/>
          <w:szCs w:val="32"/>
          <w:highlight w:val="none"/>
        </w:rPr>
        <w:t>亿元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返还性收入0.7</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亿元；财力性转移支付收入</w:t>
      </w:r>
      <w:r>
        <w:rPr>
          <w:rFonts w:hint="eastAsia" w:ascii="Times New Roman" w:hAnsi="Times New Roman" w:eastAsia="仿宋_GB2312" w:cs="Times New Roman"/>
          <w:color w:val="auto"/>
          <w:sz w:val="32"/>
          <w:szCs w:val="32"/>
          <w:highlight w:val="none"/>
          <w:lang w:val="en-US" w:eastAsia="zh-CN"/>
        </w:rPr>
        <w:t>12.97</w:t>
      </w:r>
      <w:bookmarkStart w:id="0" w:name="_GoBack"/>
      <w:bookmarkEnd w:id="0"/>
      <w:r>
        <w:rPr>
          <w:rFonts w:hint="default" w:ascii="Times New Roman" w:hAnsi="Times New Roman" w:eastAsia="仿宋_GB2312" w:cs="Times New Roman"/>
          <w:color w:val="auto"/>
          <w:sz w:val="32"/>
          <w:szCs w:val="32"/>
          <w:highlight w:val="none"/>
        </w:rPr>
        <w:t>亿元；专项性转移支付收入</w:t>
      </w:r>
      <w:r>
        <w:rPr>
          <w:rFonts w:hint="eastAsia" w:ascii="Times New Roman" w:hAnsi="Times New Roman" w:eastAsia="仿宋_GB2312" w:cs="Times New Roman"/>
          <w:color w:val="auto"/>
          <w:sz w:val="32"/>
          <w:szCs w:val="32"/>
          <w:highlight w:val="none"/>
          <w:lang w:val="en-US" w:eastAsia="zh-CN"/>
        </w:rPr>
        <w:t>13.42</w:t>
      </w:r>
      <w:r>
        <w:rPr>
          <w:rFonts w:hint="default" w:ascii="Times New Roman" w:hAnsi="Times New Roman" w:eastAsia="仿宋_GB2312" w:cs="Times New Roman"/>
          <w:color w:val="auto"/>
          <w:sz w:val="32"/>
          <w:szCs w:val="32"/>
          <w:highlight w:val="none"/>
        </w:rPr>
        <w:t>亿元。</w:t>
      </w:r>
    </w:p>
    <w:p w14:paraId="6CA2A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法库</w:t>
      </w:r>
      <w:r>
        <w:rPr>
          <w:rFonts w:hint="default" w:ascii="Times New Roman" w:hAnsi="Times New Roman" w:eastAsia="仿宋_GB2312" w:cs="Times New Roman"/>
          <w:color w:val="auto"/>
          <w:sz w:val="32"/>
          <w:szCs w:val="32"/>
          <w:highlight w:val="none"/>
        </w:rPr>
        <w:t>县202</w:t>
      </w:r>
      <w:r>
        <w:rPr>
          <w:rFonts w:hint="default"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年政府</w:t>
      </w:r>
      <w:r>
        <w:rPr>
          <w:rFonts w:hint="default" w:ascii="Times New Roman" w:hAnsi="Times New Roman" w:eastAsia="仿宋_GB2312" w:cs="Times New Roman"/>
          <w:color w:val="auto"/>
          <w:sz w:val="32"/>
          <w:szCs w:val="32"/>
          <w:highlight w:val="none"/>
          <w:lang w:val="en-US" w:eastAsia="zh-CN"/>
        </w:rPr>
        <w:t>性基金</w:t>
      </w:r>
      <w:r>
        <w:rPr>
          <w:rFonts w:hint="default" w:ascii="Times New Roman" w:hAnsi="Times New Roman" w:eastAsia="仿宋_GB2312" w:cs="Times New Roman"/>
          <w:color w:val="auto"/>
          <w:sz w:val="32"/>
          <w:szCs w:val="32"/>
          <w:highlight w:val="none"/>
        </w:rPr>
        <w:t>预算转移支付</w:t>
      </w:r>
      <w:r>
        <w:rPr>
          <w:rFonts w:hint="default" w:ascii="Times New Roman" w:hAnsi="Times New Roman" w:eastAsia="仿宋_GB2312" w:cs="Times New Roman"/>
          <w:color w:val="auto"/>
          <w:sz w:val="32"/>
          <w:szCs w:val="32"/>
          <w:highlight w:val="none"/>
          <w:lang w:val="en-US" w:eastAsia="zh-CN"/>
        </w:rPr>
        <w:t>收入为0亿</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p>
    <w:p w14:paraId="623A29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二、举借债务情况</w:t>
      </w:r>
    </w:p>
    <w:p w14:paraId="74F740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法库</w:t>
      </w:r>
      <w:r>
        <w:rPr>
          <w:rFonts w:hint="default" w:ascii="Times New Roman" w:hAnsi="Times New Roman" w:eastAsia="仿宋_GB2312" w:cs="Times New Roman"/>
          <w:color w:val="auto"/>
          <w:sz w:val="32"/>
          <w:szCs w:val="32"/>
          <w:highlight w:val="none"/>
        </w:rPr>
        <w:t>县2024年地方政府债务预计余额</w:t>
      </w:r>
      <w:r>
        <w:rPr>
          <w:rFonts w:hint="eastAsia" w:ascii="Times New Roman" w:hAnsi="Times New Roman" w:eastAsia="仿宋_GB2312" w:cs="Times New Roman"/>
          <w:color w:val="auto"/>
          <w:sz w:val="32"/>
          <w:szCs w:val="32"/>
          <w:highlight w:val="none"/>
          <w:lang w:val="en-US" w:eastAsia="zh-CN"/>
        </w:rPr>
        <w:t>53.38</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一般债务</w:t>
      </w:r>
      <w:r>
        <w:rPr>
          <w:rFonts w:hint="eastAsia" w:ascii="Times New Roman" w:hAnsi="Times New Roman" w:eastAsia="仿宋_GB2312" w:cs="Times New Roman"/>
          <w:color w:val="auto"/>
          <w:sz w:val="32"/>
          <w:szCs w:val="32"/>
          <w:highlight w:val="none"/>
          <w:lang w:val="en-US" w:eastAsia="zh-CN"/>
        </w:rPr>
        <w:t>33.88</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元，专项债务</w:t>
      </w:r>
      <w:r>
        <w:rPr>
          <w:rFonts w:hint="eastAsia"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w:t>
      </w:r>
    </w:p>
    <w:p w14:paraId="2488ED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2023年政府债务限额</w:t>
      </w:r>
      <w:r>
        <w:rPr>
          <w:rFonts w:hint="eastAsia" w:ascii="Times New Roman" w:hAnsi="Times New Roman" w:eastAsia="仿宋_GB2312" w:cs="Times New Roman"/>
          <w:color w:val="auto"/>
          <w:sz w:val="32"/>
          <w:szCs w:val="32"/>
          <w:highlight w:val="none"/>
          <w:lang w:val="en-US" w:eastAsia="zh-CN"/>
        </w:rPr>
        <w:t>49.12</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一般债务限额</w:t>
      </w:r>
      <w:r>
        <w:rPr>
          <w:rFonts w:hint="eastAsia" w:ascii="Times New Roman" w:hAnsi="Times New Roman" w:eastAsia="仿宋_GB2312" w:cs="Times New Roman"/>
          <w:color w:val="auto"/>
          <w:sz w:val="32"/>
          <w:szCs w:val="32"/>
          <w:highlight w:val="none"/>
          <w:lang w:val="en-US" w:eastAsia="zh-CN"/>
        </w:rPr>
        <w:t>32.68</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元，专项债务限额</w:t>
      </w:r>
      <w:r>
        <w:rPr>
          <w:rFonts w:hint="eastAsia" w:ascii="Times New Roman" w:hAnsi="Times New Roman" w:eastAsia="仿宋_GB2312" w:cs="Times New Roman"/>
          <w:color w:val="auto"/>
          <w:sz w:val="32"/>
          <w:szCs w:val="32"/>
          <w:highlight w:val="none"/>
          <w:lang w:val="en-US" w:eastAsia="zh-CN"/>
        </w:rPr>
        <w:t>16.44</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w:t>
      </w:r>
    </w:p>
    <w:p w14:paraId="63F11C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2024年政府债务限额</w:t>
      </w:r>
      <w:r>
        <w:rPr>
          <w:rFonts w:hint="eastAsia" w:ascii="Times New Roman" w:hAnsi="Times New Roman" w:eastAsia="仿宋_GB2312" w:cs="Times New Roman"/>
          <w:color w:val="auto"/>
          <w:sz w:val="32"/>
          <w:szCs w:val="32"/>
          <w:highlight w:val="none"/>
          <w:lang w:val="en-US" w:eastAsia="zh-CN"/>
        </w:rPr>
        <w:t>53.38</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其中</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一般债务限额</w:t>
      </w:r>
      <w:r>
        <w:rPr>
          <w:rFonts w:hint="eastAsia" w:ascii="Times New Roman" w:hAnsi="Times New Roman" w:eastAsia="仿宋_GB2312" w:cs="Times New Roman"/>
          <w:color w:val="auto"/>
          <w:sz w:val="32"/>
          <w:szCs w:val="32"/>
          <w:highlight w:val="none"/>
          <w:lang w:val="en-US" w:eastAsia="zh-CN"/>
        </w:rPr>
        <w:t>33.88</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元，专项债务限额</w:t>
      </w:r>
      <w:r>
        <w:rPr>
          <w:rFonts w:hint="eastAsia" w:ascii="Times New Roman" w:hAnsi="Times New Roman" w:eastAsia="仿宋_GB2312" w:cs="Times New Roman"/>
          <w:color w:val="auto"/>
          <w:sz w:val="32"/>
          <w:szCs w:val="32"/>
          <w:highlight w:val="none"/>
          <w:lang w:val="en-US" w:eastAsia="zh-CN"/>
        </w:rPr>
        <w:t>19.5</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w:t>
      </w:r>
    </w:p>
    <w:p w14:paraId="339A0C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三、一般公共预算“三公”经费预算安排情况</w:t>
      </w:r>
    </w:p>
    <w:p w14:paraId="286074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年一般公共预算“三公”经费预算安排</w:t>
      </w:r>
      <w:r>
        <w:rPr>
          <w:rFonts w:hint="default" w:ascii="Times New Roman" w:hAnsi="Times New Roman" w:eastAsia="仿宋_GB2312" w:cs="Times New Roman"/>
          <w:sz w:val="32"/>
          <w:szCs w:val="32"/>
          <w:highlight w:val="none"/>
          <w:lang w:val="en-US" w:eastAsia="zh-CN"/>
        </w:rPr>
        <w:t>2487.92</w:t>
      </w:r>
      <w:r>
        <w:rPr>
          <w:rFonts w:hint="default" w:ascii="Times New Roman" w:hAnsi="Times New Roman" w:eastAsia="仿宋_GB2312" w:cs="Times New Roman"/>
          <w:sz w:val="32"/>
          <w:szCs w:val="32"/>
          <w:highlight w:val="none"/>
        </w:rPr>
        <w:t>万元，其中：公务接待费433.36万元，公务用车费</w:t>
      </w:r>
      <w:r>
        <w:rPr>
          <w:rFonts w:hint="default" w:ascii="Times New Roman" w:hAnsi="Times New Roman" w:eastAsia="仿宋_GB2312" w:cs="Times New Roman"/>
          <w:sz w:val="32"/>
          <w:szCs w:val="32"/>
          <w:highlight w:val="none"/>
          <w:lang w:val="en-US" w:eastAsia="zh-CN"/>
        </w:rPr>
        <w:t>2036.56</w:t>
      </w:r>
      <w:r>
        <w:rPr>
          <w:rFonts w:hint="default" w:ascii="Times New Roman" w:hAnsi="Times New Roman" w:eastAsia="仿宋_GB2312" w:cs="Times New Roman"/>
          <w:sz w:val="32"/>
          <w:szCs w:val="32"/>
          <w:highlight w:val="none"/>
        </w:rPr>
        <w:t>万元（其中</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公车购置334.13万元；</w:t>
      </w:r>
      <w:r>
        <w:rPr>
          <w:rFonts w:hint="default" w:ascii="Times New Roman" w:hAnsi="Times New Roman" w:eastAsia="仿宋_GB2312" w:cs="Times New Roman"/>
          <w:sz w:val="32"/>
          <w:szCs w:val="32"/>
          <w:highlight w:val="none"/>
        </w:rPr>
        <w:t>公务用车运行维护费1702.43万元）</w:t>
      </w:r>
      <w:r>
        <w:rPr>
          <w:rFonts w:hint="default" w:ascii="Times New Roman" w:hAnsi="Times New Roman" w:eastAsia="仿宋_GB2312" w:cs="Times New Roman"/>
          <w:sz w:val="32"/>
          <w:szCs w:val="32"/>
          <w:highlight w:val="none"/>
          <w:lang w:eastAsia="zh-CN"/>
        </w:rPr>
        <w:t>，因公出国（境）费用</w:t>
      </w:r>
      <w:r>
        <w:rPr>
          <w:rFonts w:hint="default" w:ascii="Times New Roman" w:hAnsi="Times New Roman" w:eastAsia="仿宋_GB2312" w:cs="Times New Roman"/>
          <w:sz w:val="32"/>
          <w:szCs w:val="32"/>
          <w:highlight w:val="none"/>
          <w:lang w:val="en-US" w:eastAsia="zh-CN"/>
        </w:rPr>
        <w:t>18万元</w:t>
      </w:r>
      <w:r>
        <w:rPr>
          <w:rFonts w:hint="default" w:ascii="Times New Roman" w:hAnsi="Times New Roman" w:eastAsia="仿宋_GB2312" w:cs="Times New Roman"/>
          <w:sz w:val="32"/>
          <w:szCs w:val="32"/>
          <w:highlight w:val="none"/>
        </w:rPr>
        <w:t>。</w:t>
      </w:r>
    </w:p>
    <w:p w14:paraId="64AC84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年一般公共预算“三公”经费预算</w:t>
      </w:r>
      <w:r>
        <w:rPr>
          <w:rFonts w:hint="eastAsia" w:ascii="Times New Roman" w:hAnsi="Times New Roman" w:eastAsia="仿宋_GB2312" w:cs="Times New Roman"/>
          <w:sz w:val="32"/>
          <w:szCs w:val="32"/>
          <w:highlight w:val="none"/>
          <w:lang w:eastAsia="zh-CN"/>
        </w:rPr>
        <w:t>与</w:t>
      </w:r>
      <w:r>
        <w:rPr>
          <w:rFonts w:hint="default" w:ascii="Times New Roman" w:hAnsi="Times New Roman" w:eastAsia="仿宋_GB2312" w:cs="Times New Roman"/>
          <w:sz w:val="32"/>
          <w:szCs w:val="32"/>
          <w:highlight w:val="none"/>
        </w:rPr>
        <w:t>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年“三公”经费预算</w:t>
      </w:r>
      <w:r>
        <w:rPr>
          <w:rFonts w:hint="eastAsia" w:ascii="Times New Roman" w:hAnsi="Times New Roman" w:eastAsia="仿宋_GB2312" w:cs="Times New Roman"/>
          <w:sz w:val="32"/>
          <w:szCs w:val="32"/>
          <w:highlight w:val="none"/>
          <w:lang w:eastAsia="zh-CN"/>
        </w:rPr>
        <w:t>保持不变</w:t>
      </w:r>
      <w:r>
        <w:rPr>
          <w:rFonts w:hint="default" w:ascii="Times New Roman" w:hAnsi="Times New Roman" w:eastAsia="仿宋_GB2312" w:cs="Times New Roman"/>
          <w:sz w:val="32"/>
          <w:szCs w:val="32"/>
          <w:highlight w:val="none"/>
        </w:rPr>
        <w:t>。</w:t>
      </w:r>
    </w:p>
    <w:p w14:paraId="5458D5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sz w:val="32"/>
          <w:szCs w:val="32"/>
          <w:highlight w:val="none"/>
        </w:rPr>
      </w:pPr>
      <w:r>
        <w:rPr>
          <w:rFonts w:hint="default" w:ascii="Times New Roman" w:hAnsi="Times New Roman" w:eastAsia="黑体" w:cs="Times New Roman"/>
          <w:b w:val="0"/>
          <w:bCs/>
          <w:sz w:val="32"/>
          <w:szCs w:val="32"/>
          <w:highlight w:val="none"/>
        </w:rPr>
        <w:t>四、预算绩效工作开展情况</w:t>
      </w:r>
    </w:p>
    <w:p w14:paraId="319CDF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2025年，为进一步提高财政资金使用科学性、效率性和效益性，建立规范的绩效评价体系，</w:t>
      </w:r>
      <w:r>
        <w:rPr>
          <w:rFonts w:hint="eastAsia" w:ascii="Times New Roman" w:hAnsi="Times New Roman" w:eastAsia="仿宋_GB2312" w:cs="Times New Roman"/>
          <w:sz w:val="32"/>
          <w:szCs w:val="32"/>
          <w:highlight w:val="none"/>
          <w:lang w:eastAsia="zh-CN"/>
        </w:rPr>
        <w:t>法库</w:t>
      </w:r>
      <w:r>
        <w:rPr>
          <w:rFonts w:hint="default" w:ascii="Times New Roman" w:hAnsi="Times New Roman" w:eastAsia="仿宋_GB2312" w:cs="Times New Roman"/>
          <w:sz w:val="32"/>
          <w:szCs w:val="32"/>
          <w:highlight w:val="none"/>
        </w:rPr>
        <w:t>县将认真开展科学精准的预算绩效评价工作，并将取得一定的效果。</w:t>
      </w:r>
    </w:p>
    <w:p w14:paraId="6C0EEE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财政部门负责本地区全面实施预算绩效管理的组织协调，制定预算绩效管理制度办法，健全组织机构，理顺工作机制，明确工作目标、工作方法和工作流程，加强业务指导培训，提高预算绩效管理人员和各部门各单位相关人员的业务素质和能力水平，树立预算绩效管理意识。</w:t>
      </w:r>
    </w:p>
    <w:p w14:paraId="38D901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加强预算绩效管理责任约束，各级政府和各部门各单位是预算绩效管理的责任主体。各级党委和政府主要负责同志对本地区预算绩效负责，部门和单位主要负责同志对本部门本单位预算绩效管理负责，项目责任人对项目预算绩效负责，对重大项目的责任人实行绩效终身责任追究制，做到花钱必问效、无效必问责。</w:t>
      </w:r>
    </w:p>
    <w:p w14:paraId="701E91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3.通过预算一体化系统下发部门预算绩效整体和项目自评、监控任务，实现绩效目标管理、绩效监控、绩效自评、绩效审核线上全覆盖。2024年共开展各部门本</w:t>
      </w:r>
      <w:r>
        <w:rPr>
          <w:rFonts w:hint="default" w:ascii="Times New Roman" w:hAnsi="Times New Roman" w:eastAsia="仿宋_GB2312" w:cs="Times New Roman"/>
          <w:color w:val="auto"/>
          <w:sz w:val="32"/>
          <w:szCs w:val="32"/>
          <w:highlight w:val="none"/>
        </w:rPr>
        <w:t>年度整体绩效监控</w:t>
      </w:r>
      <w:r>
        <w:rPr>
          <w:rFonts w:hint="eastAsia" w:ascii="Times New Roman" w:hAnsi="Times New Roman" w:eastAsia="仿宋_GB2312" w:cs="Times New Roman"/>
          <w:color w:val="auto"/>
          <w:sz w:val="32"/>
          <w:szCs w:val="32"/>
          <w:highlight w:val="none"/>
          <w:lang w:val="en-US" w:eastAsia="zh-CN"/>
        </w:rPr>
        <w:t>138</w:t>
      </w:r>
      <w:r>
        <w:rPr>
          <w:rFonts w:hint="default" w:ascii="Times New Roman" w:hAnsi="Times New Roman" w:eastAsia="仿宋_GB2312" w:cs="Times New Roman"/>
          <w:color w:val="auto"/>
          <w:sz w:val="32"/>
          <w:szCs w:val="32"/>
          <w:highlight w:val="none"/>
        </w:rPr>
        <w:t>项、项目绩效监控</w:t>
      </w:r>
      <w:r>
        <w:rPr>
          <w:rFonts w:hint="eastAsia" w:ascii="Times New Roman" w:hAnsi="Times New Roman" w:eastAsia="仿宋_GB2312" w:cs="Times New Roman"/>
          <w:color w:val="auto"/>
          <w:sz w:val="32"/>
          <w:szCs w:val="32"/>
          <w:highlight w:val="none"/>
          <w:lang w:val="en-US" w:eastAsia="zh-CN"/>
        </w:rPr>
        <w:t>1850</w:t>
      </w:r>
      <w:r>
        <w:rPr>
          <w:rFonts w:hint="default" w:ascii="Times New Roman" w:hAnsi="Times New Roman" w:eastAsia="仿宋_GB2312" w:cs="Times New Roman"/>
          <w:color w:val="auto"/>
          <w:sz w:val="32"/>
          <w:szCs w:val="32"/>
          <w:highlight w:val="none"/>
        </w:rPr>
        <w:t>项。开展各部门上年度整体绩效自评</w:t>
      </w:r>
      <w:r>
        <w:rPr>
          <w:rFonts w:hint="eastAsia" w:ascii="Times New Roman" w:hAnsi="Times New Roman" w:eastAsia="仿宋_GB2312" w:cs="Times New Roman"/>
          <w:color w:val="auto"/>
          <w:sz w:val="32"/>
          <w:szCs w:val="32"/>
          <w:highlight w:val="none"/>
          <w:lang w:val="en-US" w:eastAsia="zh-CN"/>
        </w:rPr>
        <w:t>138</w:t>
      </w:r>
      <w:r>
        <w:rPr>
          <w:rFonts w:hint="default" w:ascii="Times New Roman" w:hAnsi="Times New Roman" w:eastAsia="仿宋_GB2312" w:cs="Times New Roman"/>
          <w:color w:val="auto"/>
          <w:sz w:val="32"/>
          <w:szCs w:val="32"/>
          <w:highlight w:val="none"/>
        </w:rPr>
        <w:t>项，项目绩效自评</w:t>
      </w:r>
      <w:r>
        <w:rPr>
          <w:rFonts w:hint="eastAsia" w:ascii="Times New Roman" w:hAnsi="Times New Roman" w:eastAsia="仿宋_GB2312" w:cs="Times New Roman"/>
          <w:color w:val="auto"/>
          <w:sz w:val="32"/>
          <w:szCs w:val="32"/>
          <w:highlight w:val="none"/>
          <w:lang w:val="en-US" w:eastAsia="zh-CN"/>
        </w:rPr>
        <w:t>1619</w:t>
      </w:r>
      <w:r>
        <w:rPr>
          <w:rFonts w:hint="default" w:ascii="Times New Roman" w:hAnsi="Times New Roman" w:eastAsia="仿宋_GB2312" w:cs="Times New Roman"/>
          <w:color w:val="auto"/>
          <w:sz w:val="32"/>
          <w:szCs w:val="32"/>
          <w:highlight w:val="none"/>
        </w:rPr>
        <w:t>项，</w:t>
      </w:r>
      <w:r>
        <w:rPr>
          <w:rFonts w:hint="default" w:ascii="Times New Roman" w:hAnsi="Times New Roman" w:eastAsia="仿宋_GB2312" w:cs="Times New Roman"/>
          <w:sz w:val="32"/>
          <w:szCs w:val="32"/>
          <w:highlight w:val="none"/>
        </w:rPr>
        <w:t>进行评价、反馈、整改、提升良性循环，推进绩效管理和预算管理深度融合，促进财政资源配置进一步优化。</w:t>
      </w:r>
    </w:p>
    <w:p w14:paraId="29C472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4.将预算绩效结果纳入政府绩效和干部政绩考核体系，作为领导干部选拔任用、公务员考核的重要参考，充分调动各地区各部门履职尽责和干事创业的积极性和主动性。各级财政部门负责对本级部门和预算单位、下级财政部门预算绩效管理工作情况进行考核。</w:t>
      </w:r>
    </w:p>
    <w:sectPr>
      <w:pgSz w:w="11906" w:h="16838"/>
      <w:pgMar w:top="1701"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4MWNiNTgxNjkyOTkyNDc1YThlN2MwOWM3OTVkZDEifQ=="/>
  </w:docVars>
  <w:rsids>
    <w:rsidRoot w:val="00154DE4"/>
    <w:rsid w:val="000825D3"/>
    <w:rsid w:val="0011237E"/>
    <w:rsid w:val="00154DE4"/>
    <w:rsid w:val="00181B5A"/>
    <w:rsid w:val="001C7050"/>
    <w:rsid w:val="002D35A8"/>
    <w:rsid w:val="002E4222"/>
    <w:rsid w:val="0032122E"/>
    <w:rsid w:val="003564E3"/>
    <w:rsid w:val="00396A0C"/>
    <w:rsid w:val="003A39CE"/>
    <w:rsid w:val="003A4F97"/>
    <w:rsid w:val="003F3D3F"/>
    <w:rsid w:val="003F7FC8"/>
    <w:rsid w:val="00454214"/>
    <w:rsid w:val="004B46D3"/>
    <w:rsid w:val="004D3A94"/>
    <w:rsid w:val="00531C6F"/>
    <w:rsid w:val="00685C20"/>
    <w:rsid w:val="007051CF"/>
    <w:rsid w:val="0078036B"/>
    <w:rsid w:val="0078518B"/>
    <w:rsid w:val="007B44C1"/>
    <w:rsid w:val="007C5C09"/>
    <w:rsid w:val="008353E4"/>
    <w:rsid w:val="008E0DE5"/>
    <w:rsid w:val="008E6D59"/>
    <w:rsid w:val="008F3253"/>
    <w:rsid w:val="00922621"/>
    <w:rsid w:val="00936F8C"/>
    <w:rsid w:val="009A1B03"/>
    <w:rsid w:val="00A002CF"/>
    <w:rsid w:val="00B03891"/>
    <w:rsid w:val="00BB317B"/>
    <w:rsid w:val="00C75722"/>
    <w:rsid w:val="00D97F93"/>
    <w:rsid w:val="00DC4AD5"/>
    <w:rsid w:val="00E375DF"/>
    <w:rsid w:val="00E6674C"/>
    <w:rsid w:val="00E85319"/>
    <w:rsid w:val="00E95A38"/>
    <w:rsid w:val="00EB5BD4"/>
    <w:rsid w:val="00F81ED6"/>
    <w:rsid w:val="00F90D01"/>
    <w:rsid w:val="00FC4CF6"/>
    <w:rsid w:val="04FE3F9A"/>
    <w:rsid w:val="07DE7604"/>
    <w:rsid w:val="0B9A2BAF"/>
    <w:rsid w:val="0D6347A1"/>
    <w:rsid w:val="10E12D80"/>
    <w:rsid w:val="1B4C0296"/>
    <w:rsid w:val="29B7227F"/>
    <w:rsid w:val="2A605DEE"/>
    <w:rsid w:val="2B5B73FC"/>
    <w:rsid w:val="30760F62"/>
    <w:rsid w:val="355C0AE3"/>
    <w:rsid w:val="3E0C5F62"/>
    <w:rsid w:val="439F1B83"/>
    <w:rsid w:val="46410547"/>
    <w:rsid w:val="49D42E91"/>
    <w:rsid w:val="4F16074D"/>
    <w:rsid w:val="524F2524"/>
    <w:rsid w:val="5DD76917"/>
    <w:rsid w:val="5F530220"/>
    <w:rsid w:val="60C018E5"/>
    <w:rsid w:val="6AA57CA1"/>
    <w:rsid w:val="6C25416F"/>
    <w:rsid w:val="6C30219C"/>
    <w:rsid w:val="794F0AC8"/>
    <w:rsid w:val="9DEF3AFF"/>
    <w:rsid w:val="F5F9A9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951</Words>
  <Characters>1052</Characters>
  <Lines>7</Lines>
  <Paragraphs>1</Paragraphs>
  <TotalTime>122</TotalTime>
  <ScaleCrop>false</ScaleCrop>
  <LinksUpToDate>false</LinksUpToDate>
  <CharactersWithSpaces>1052</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2017-10-25T16:14:00Z</dcterms:created>
  <dc:creator>cyb</dc:creator>
  <cp:lastModifiedBy>LIAOHE</cp:lastModifiedBy>
  <cp:lastPrinted>2026-05-27T14:34:37Z</cp:lastPrinted>
  <dcterms:modified xsi:type="dcterms:W3CDTF">2026-05-28T09:26:23Z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BC4F8B7878367BCB0D54166AF4F0A93B_43</vt:lpwstr>
  </property>
</Properties>
</file>