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921CD">
      <w:pPr>
        <w:spacing w:before="270" w:line="220" w:lineRule="auto"/>
        <w:ind w:left="2649"/>
        <w:rPr>
          <w:rFonts w:ascii="宋体" w:hAnsi="宋体" w:eastAsia="宋体" w:cs="宋体"/>
          <w:sz w:val="83"/>
          <w:szCs w:val="83"/>
        </w:rPr>
      </w:pPr>
      <w:r>
        <w:rPr>
          <w:rFonts w:ascii="宋体" w:hAnsi="宋体" w:eastAsia="宋体" w:cs="宋体"/>
          <w:b/>
          <w:bCs/>
          <w:spacing w:val="-14"/>
          <w:sz w:val="83"/>
          <w:szCs w:val="83"/>
        </w:rPr>
        <w:t>法库龙山沈阳新宏远陶瓷有限公司</w:t>
      </w:r>
    </w:p>
    <w:p w14:paraId="5A73BC28">
      <w:pPr>
        <w:spacing w:before="64" w:line="218" w:lineRule="auto"/>
        <w:ind w:left="1990"/>
        <w:rPr>
          <w:rFonts w:ascii="宋体" w:hAnsi="宋体" w:eastAsia="宋体" w:cs="宋体"/>
          <w:sz w:val="83"/>
          <w:szCs w:val="83"/>
        </w:rPr>
      </w:pPr>
      <w:r>
        <w:rPr>
          <w:rFonts w:ascii="宋体" w:hAnsi="宋体" w:eastAsia="宋体" w:cs="宋体"/>
          <w:b/>
          <w:bCs/>
          <w:spacing w:val="-30"/>
          <w:sz w:val="83"/>
          <w:szCs w:val="83"/>
        </w:rPr>
        <w:t>“5·26”一般机械伤害事故评估报告</w:t>
      </w:r>
    </w:p>
    <w:p w14:paraId="57E9FE6A">
      <w:pPr>
        <w:spacing w:line="299" w:lineRule="auto"/>
        <w:rPr>
          <w:rFonts w:ascii="Arial"/>
          <w:sz w:val="21"/>
        </w:rPr>
      </w:pPr>
    </w:p>
    <w:p w14:paraId="3B397D5B">
      <w:pPr>
        <w:spacing w:line="299" w:lineRule="auto"/>
        <w:rPr>
          <w:rFonts w:ascii="Arial"/>
          <w:sz w:val="21"/>
        </w:rPr>
      </w:pPr>
    </w:p>
    <w:p w14:paraId="6F8EF810">
      <w:pPr>
        <w:spacing w:line="299" w:lineRule="auto"/>
        <w:rPr>
          <w:rFonts w:ascii="Arial"/>
          <w:sz w:val="21"/>
        </w:rPr>
      </w:pPr>
    </w:p>
    <w:p w14:paraId="4E59E2C5">
      <w:pPr>
        <w:spacing w:line="299" w:lineRule="auto"/>
        <w:rPr>
          <w:rFonts w:ascii="Arial"/>
          <w:sz w:val="21"/>
        </w:rPr>
      </w:pPr>
    </w:p>
    <w:p w14:paraId="1FEF6B46">
      <w:pPr>
        <w:pStyle w:val="2"/>
        <w:spacing w:before="195" w:line="325" w:lineRule="auto"/>
        <w:ind w:left="451" w:right="341" w:firstLine="1192"/>
        <w:jc w:val="both"/>
      </w:pPr>
      <w:r>
        <w:rPr>
          <w:spacing w:val="48"/>
        </w:rPr>
        <w:t>2024年5月26日19时许，沈阳新宏远陶瓷有限公司原料</w:t>
      </w:r>
      <w:r>
        <w:rPr>
          <w:spacing w:val="14"/>
        </w:rPr>
        <w:t>车间仓顶班班长</w:t>
      </w:r>
      <w:r>
        <w:rPr>
          <w:rFonts w:hint="eastAsia"/>
          <w:spacing w:val="14"/>
          <w:lang w:val="en-US" w:eastAsia="zh-CN"/>
        </w:rPr>
        <w:t>张XX</w:t>
      </w:r>
      <w:bookmarkStart w:id="0" w:name="_GoBack"/>
      <w:bookmarkEnd w:id="0"/>
      <w:r>
        <w:rPr>
          <w:spacing w:val="14"/>
        </w:rPr>
        <w:t>在操作轨道式上料皮带机时腹部被皮带</w:t>
      </w:r>
      <w:r>
        <w:rPr>
          <w:spacing w:val="-6"/>
        </w:rPr>
        <w:t>电机和皮带机上方的皮带架卡住，经抢救无效死亡。造成一般机</w:t>
      </w:r>
      <w:r>
        <w:rPr>
          <w:spacing w:val="-1"/>
        </w:rPr>
        <w:t>械伤害生产安全事故。县政府立即成立了由县应急管理局牵头，</w:t>
      </w:r>
      <w:r>
        <w:rPr>
          <w:spacing w:val="-8"/>
        </w:rPr>
        <w:t>由县总工会、县公安局、县纪委监委、县人社局和龙山街道办事</w:t>
      </w:r>
      <w:r>
        <w:rPr>
          <w:spacing w:val="-6"/>
        </w:rPr>
        <w:t>处等单位组成，邀请县检察院参加的事故调查组。对法库龙山沈</w:t>
      </w:r>
      <w:r>
        <w:rPr>
          <w:spacing w:val="-3"/>
        </w:rPr>
        <w:t>阳新宏远陶瓷有限公司“5·26”一般机械伤害事故进行调查处</w:t>
      </w:r>
      <w:r>
        <w:rPr>
          <w:spacing w:val="-5"/>
        </w:rPr>
        <w:t>理。依照法律、法规的权限和程序，分别落实对相关责任单位和</w:t>
      </w:r>
      <w:r>
        <w:rPr>
          <w:spacing w:val="-11"/>
        </w:rPr>
        <w:t>责任人员的责任追究。</w:t>
      </w:r>
    </w:p>
    <w:p w14:paraId="76D73E6E">
      <w:pPr>
        <w:spacing w:line="223" w:lineRule="auto"/>
        <w:ind w:left="1644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spacing w:val="3"/>
          <w:sz w:val="60"/>
          <w:szCs w:val="60"/>
        </w:rPr>
        <w:t>一、评估工作组开展情况</w:t>
      </w:r>
    </w:p>
    <w:p w14:paraId="775B80BE">
      <w:pPr>
        <w:pStyle w:val="2"/>
        <w:spacing w:before="288" w:line="325" w:lineRule="auto"/>
        <w:ind w:left="451" w:right="85" w:firstLine="1192"/>
        <w:jc w:val="both"/>
      </w:pPr>
      <w:r>
        <w:rPr>
          <w:spacing w:val="-14"/>
        </w:rPr>
        <w:t>根据《安全生产法》和《生产安全事故报告和调查处理条例》</w:t>
      </w:r>
      <w:r>
        <w:rPr>
          <w:spacing w:val="35"/>
        </w:rPr>
        <w:t>(国务院令第493号)的相关规定，于2025年4月23日成立法库</w:t>
      </w:r>
      <w:r>
        <w:rPr>
          <w:spacing w:val="-2"/>
        </w:rPr>
        <w:t>龙山沈阳新宏远陶瓷有限公司“5·26”一般机</w:t>
      </w:r>
      <w:r>
        <w:rPr>
          <w:spacing w:val="-3"/>
        </w:rPr>
        <w:t>械伤害事故防范</w:t>
      </w:r>
      <w:r>
        <w:rPr>
          <w:spacing w:val="-4"/>
        </w:rPr>
        <w:t>和整改措施落实情况评估组，评估组由县应急局、县总工会、县</w:t>
      </w:r>
      <w:r>
        <w:rPr>
          <w:spacing w:val="-3"/>
        </w:rPr>
        <w:t>公安局、县检察院、县人社局、县纪委监委</w:t>
      </w:r>
      <w:r>
        <w:rPr>
          <w:spacing w:val="-4"/>
        </w:rPr>
        <w:t>等部门和龙山办事处</w:t>
      </w:r>
      <w:r>
        <w:rPr>
          <w:spacing w:val="19"/>
        </w:rPr>
        <w:t>组成评估组逐项对照事故调查报告防范和整</w:t>
      </w:r>
      <w:r>
        <w:rPr>
          <w:spacing w:val="18"/>
        </w:rPr>
        <w:t>改措施建议开展评</w:t>
      </w:r>
      <w:r>
        <w:rPr>
          <w:spacing w:val="-9"/>
        </w:rPr>
        <w:t>估。现将有关情况报告如下：</w:t>
      </w:r>
    </w:p>
    <w:p w14:paraId="3E41E3E8">
      <w:pPr>
        <w:spacing w:before="47" w:line="222" w:lineRule="auto"/>
        <w:ind w:left="1644"/>
        <w:rPr>
          <w:rFonts w:ascii="Arial"/>
          <w:sz w:val="21"/>
        </w:rPr>
      </w:pPr>
      <w:r>
        <w:rPr>
          <w:rFonts w:ascii="黑体" w:hAnsi="黑体" w:eastAsia="黑体" w:cs="黑体"/>
          <w:spacing w:val="5"/>
          <w:sz w:val="60"/>
          <w:szCs w:val="60"/>
        </w:rPr>
        <w:t>二、事故责任人员、责任单位处理建议</w:t>
      </w:r>
      <w:r>
        <w:rPr>
          <w:rFonts w:ascii="黑体" w:hAnsi="黑体" w:eastAsia="黑体" w:cs="黑体"/>
          <w:color w:val="506070"/>
          <w:spacing w:val="5"/>
          <w:sz w:val="60"/>
          <w:szCs w:val="60"/>
        </w:rPr>
        <w:t>的落实情况</w:t>
      </w:r>
    </w:p>
    <w:p w14:paraId="6A8B4410">
      <w:pPr>
        <w:spacing w:before="189" w:line="226" w:lineRule="auto"/>
        <w:ind w:firstLine="1261" w:firstLineChars="200"/>
        <w:outlineLvl w:val="0"/>
        <w:rPr>
          <w:rFonts w:ascii="楷体" w:hAnsi="楷体" w:eastAsia="楷体" w:cs="楷体"/>
          <w:sz w:val="58"/>
          <w:szCs w:val="58"/>
        </w:rPr>
      </w:pPr>
      <w:r>
        <w:rPr>
          <w:rFonts w:ascii="楷体" w:hAnsi="楷体" w:eastAsia="楷体" w:cs="楷体"/>
          <w:b/>
          <w:bCs/>
          <w:spacing w:val="24"/>
          <w:sz w:val="58"/>
          <w:szCs w:val="58"/>
        </w:rPr>
        <w:t>(一)对相关责任单位处理建议的落实情况</w:t>
      </w:r>
    </w:p>
    <w:p w14:paraId="1E781255">
      <w:pPr>
        <w:pStyle w:val="2"/>
        <w:spacing w:before="346" w:line="223" w:lineRule="auto"/>
        <w:ind w:left="1450"/>
      </w:pPr>
      <w:r>
        <w:rPr>
          <w:rFonts w:ascii="Times New Roman" w:hAnsi="Times New Roman" w:eastAsia="Times New Roman" w:cs="Times New Roman"/>
          <w:spacing w:val="-6"/>
        </w:rPr>
        <w:t>1.</w:t>
      </w:r>
      <w:r>
        <w:rPr>
          <w:spacing w:val="-6"/>
        </w:rPr>
        <w:t>沈阳新宏远陶瓷有限公司</w:t>
      </w:r>
    </w:p>
    <w:p w14:paraId="5E387A3F">
      <w:pPr>
        <w:pStyle w:val="2"/>
        <w:spacing w:before="297" w:line="322" w:lineRule="auto"/>
        <w:ind w:left="300" w:right="35" w:firstLine="1149"/>
      </w:pPr>
      <w:r>
        <w:rPr>
          <w:spacing w:val="-23"/>
        </w:rPr>
        <w:t>处理建议：安全生产主体责任落实不到位，安全管</w:t>
      </w:r>
      <w:r>
        <w:rPr>
          <w:spacing w:val="-24"/>
        </w:rPr>
        <w:t>理不到位，</w:t>
      </w:r>
      <w:r>
        <w:rPr>
          <w:spacing w:val="-13"/>
        </w:rPr>
        <w:t>在有安全风险区域未设置安全警示标志，对员工的安全教育培训</w:t>
      </w:r>
      <w:r>
        <w:rPr>
          <w:spacing w:val="-15"/>
        </w:rPr>
        <w:t>力度不够、质量不高，企业落实安全风险分级管控和隐患排查治</w:t>
      </w:r>
      <w:r>
        <w:rPr>
          <w:spacing w:val="-3"/>
        </w:rPr>
        <w:t>理双重预防机制不到位。违反了《中华人民共和国安全生产法》</w:t>
      </w:r>
      <w:r>
        <w:rPr>
          <w:spacing w:val="-11"/>
        </w:rPr>
        <w:t>第四十一条第一款和第三十五条的规定。建</w:t>
      </w:r>
      <w:r>
        <w:rPr>
          <w:spacing w:val="-12"/>
        </w:rPr>
        <w:t>议给予沈阳新宏远陶</w:t>
      </w:r>
      <w:r>
        <w:rPr>
          <w:spacing w:val="5"/>
        </w:rPr>
        <w:t>瓷有限公司人民币52万元罚款的行政处罚。</w:t>
      </w:r>
    </w:p>
    <w:p w14:paraId="6F3C7266">
      <w:pPr>
        <w:pStyle w:val="2"/>
        <w:spacing w:before="12" w:line="318" w:lineRule="auto"/>
        <w:ind w:left="148" w:right="317" w:firstLine="1302"/>
        <w:jc w:val="both"/>
      </w:pPr>
      <w:r>
        <w:rPr>
          <w:spacing w:val="33"/>
        </w:rPr>
        <w:t>处理建议落实情况：法库县应急管理局于2024年9月5日</w:t>
      </w:r>
      <w:r>
        <w:rPr>
          <w:spacing w:val="21"/>
        </w:rPr>
        <w:t>对其进行立案。2024年10月9日，县应急局对</w:t>
      </w:r>
      <w:r>
        <w:rPr>
          <w:spacing w:val="20"/>
        </w:rPr>
        <w:t>沈阳新宏远陶瓷</w:t>
      </w:r>
      <w:r>
        <w:rPr>
          <w:spacing w:val="15"/>
        </w:rPr>
        <w:t>有限公司下达行政处罚决定书((法)应急罚〔2024〕</w:t>
      </w:r>
      <w:r>
        <w:rPr>
          <w:rFonts w:ascii="Times New Roman" w:hAnsi="Times New Roman" w:eastAsia="Times New Roman" w:cs="Times New Roman"/>
        </w:rPr>
        <w:t>sg</w:t>
      </w:r>
      <w:r>
        <w:rPr>
          <w:rFonts w:ascii="Times New Roman" w:hAnsi="Times New Roman" w:eastAsia="Times New Roman" w:cs="Times New Roman"/>
          <w:spacing w:val="15"/>
        </w:rPr>
        <w:t>14</w:t>
      </w:r>
      <w:r>
        <w:rPr>
          <w:spacing w:val="15"/>
        </w:rPr>
        <w:t>号</w:t>
      </w:r>
      <w:r>
        <w:rPr>
          <w:spacing w:val="14"/>
        </w:rPr>
        <w:t>),</w:t>
      </w:r>
      <w:r>
        <w:rPr>
          <w:spacing w:val="11"/>
        </w:rPr>
        <w:t>对其处以52万元罚款的行政处罚。该公司由于经营困难，申请</w:t>
      </w:r>
      <w:r>
        <w:rPr>
          <w:spacing w:val="-10"/>
        </w:rPr>
        <w:t>延期缴纳，县应急局经过研究，决定该企业延期缴纳罚款至2025</w:t>
      </w:r>
      <w:r>
        <w:rPr>
          <w:spacing w:val="22"/>
        </w:rPr>
        <w:t>年3月21日。该企业于至今还未缴纳罚款，现已将该案申请县</w:t>
      </w:r>
      <w:r>
        <w:rPr>
          <w:spacing w:val="-16"/>
        </w:rPr>
        <w:t>法院强制执行。</w:t>
      </w:r>
    </w:p>
    <w:p w14:paraId="4FCB7D05">
      <w:pPr>
        <w:spacing w:before="110" w:line="226" w:lineRule="auto"/>
        <w:ind w:left="1665"/>
        <w:outlineLvl w:val="0"/>
        <w:rPr>
          <w:rFonts w:ascii="楷体" w:hAnsi="楷体" w:eastAsia="楷体" w:cs="楷体"/>
          <w:sz w:val="58"/>
          <w:szCs w:val="58"/>
        </w:rPr>
      </w:pPr>
      <w:r>
        <w:rPr>
          <w:rFonts w:ascii="楷体" w:hAnsi="楷体" w:eastAsia="楷体" w:cs="楷体"/>
          <w:b/>
          <w:bCs/>
          <w:spacing w:val="31"/>
          <w:sz w:val="58"/>
          <w:szCs w:val="58"/>
        </w:rPr>
        <w:t>(二)对相关责任人员处理建议的落实情况</w:t>
      </w:r>
    </w:p>
    <w:p w14:paraId="3974DED5">
      <w:pPr>
        <w:pStyle w:val="2"/>
        <w:spacing w:before="317" w:line="225" w:lineRule="auto"/>
        <w:ind w:left="1297"/>
        <w:rPr>
          <w:b/>
          <w:bCs/>
        </w:rPr>
      </w:pPr>
      <w:r>
        <w:rPr>
          <w:b/>
          <w:bCs/>
          <w:spacing w:val="4"/>
        </w:rPr>
        <w:t>1.孙</w:t>
      </w:r>
      <w:r>
        <w:rPr>
          <w:rFonts w:hint="eastAsia"/>
          <w:b/>
          <w:bCs/>
          <w:spacing w:val="4"/>
          <w:lang w:val="en-US" w:eastAsia="zh-CN"/>
        </w:rPr>
        <w:t>XX</w:t>
      </w:r>
      <w:r>
        <w:rPr>
          <w:b/>
          <w:bCs/>
          <w:spacing w:val="4"/>
        </w:rPr>
        <w:t>，企业法人</w:t>
      </w:r>
    </w:p>
    <w:p w14:paraId="373F3F85">
      <w:pPr>
        <w:pStyle w:val="2"/>
        <w:spacing w:before="303" w:line="325" w:lineRule="auto"/>
        <w:ind w:firstLine="1297"/>
      </w:pPr>
      <w:r>
        <w:rPr>
          <w:spacing w:val="-8"/>
        </w:rPr>
        <w:t>处理建议：作为新宏远陶瓷公司企业法人，履行主要负责人</w:t>
      </w:r>
      <w:r>
        <w:rPr>
          <w:spacing w:val="-5"/>
        </w:rPr>
        <w:t>职责不到位，组织落实安全风险分级管控和隐患排查治理双重预</w:t>
      </w:r>
      <w:r>
        <w:rPr>
          <w:spacing w:val="-4"/>
        </w:rPr>
        <w:t>防工作机制不到位，导致事故发生，负有主要领导责任。违反了</w:t>
      </w:r>
      <w:r>
        <w:rPr>
          <w:spacing w:val="-12"/>
        </w:rPr>
        <w:t>《中华人民共和国安全生产法》第二十一条第一款第五项的规定。</w:t>
      </w:r>
      <w:r>
        <w:t>建议给予孙</w:t>
      </w:r>
      <w:r>
        <w:rPr>
          <w:rFonts w:hint="eastAsia"/>
          <w:lang w:val="en-US" w:eastAsia="zh-CN"/>
        </w:rPr>
        <w:t>XX</w:t>
      </w:r>
      <w:r>
        <w:t>罚款的行政处罚。</w:t>
      </w:r>
    </w:p>
    <w:p w14:paraId="17012F3E">
      <w:pPr>
        <w:pStyle w:val="2"/>
        <w:spacing w:before="7" w:line="224" w:lineRule="auto"/>
        <w:ind w:left="1297"/>
        <w:rPr>
          <w:sz w:val="56"/>
          <w:szCs w:val="56"/>
        </w:rPr>
      </w:pPr>
      <w:r>
        <w:rPr>
          <w:spacing w:val="69"/>
          <w:sz w:val="56"/>
          <w:szCs w:val="56"/>
        </w:rPr>
        <w:t>处理建议落实情况：法库县应急管理局于2024年9月5日</w:t>
      </w:r>
    </w:p>
    <w:p w14:paraId="48EE57C2">
      <w:pPr>
        <w:pStyle w:val="2"/>
        <w:spacing w:before="195" w:line="321" w:lineRule="auto"/>
        <w:ind w:right="574"/>
        <w:jc w:val="both"/>
      </w:pPr>
      <w:r>
        <w:rPr>
          <w:spacing w:val="23"/>
        </w:rPr>
        <w:t>对其进行立案。</w:t>
      </w:r>
      <w:r>
        <w:rPr>
          <w:color w:val="707070"/>
          <w:spacing w:val="23"/>
        </w:rPr>
        <w:t>2024年10月9日，县应急局对</w:t>
      </w:r>
      <w:r>
        <w:rPr>
          <w:color w:val="707070"/>
          <w:spacing w:val="22"/>
        </w:rPr>
        <w:t>孙</w:t>
      </w:r>
      <w:r>
        <w:rPr>
          <w:rFonts w:hint="eastAsia"/>
          <w:color w:val="707070"/>
          <w:spacing w:val="22"/>
          <w:lang w:val="en-US" w:eastAsia="zh-CN"/>
        </w:rPr>
        <w:t>XX</w:t>
      </w:r>
      <w:r>
        <w:rPr>
          <w:spacing w:val="22"/>
        </w:rPr>
        <w:t>下达行政</w:t>
      </w:r>
      <w:r>
        <w:rPr>
          <w:spacing w:val="49"/>
        </w:rPr>
        <w:t>处罚决定书((法)应急罚〔2024〕</w:t>
      </w:r>
      <w:r>
        <w:rPr>
          <w:rFonts w:ascii="Times New Roman" w:hAnsi="Times New Roman" w:eastAsia="Times New Roman" w:cs="Times New Roman"/>
        </w:rPr>
        <w:t>sg</w:t>
      </w:r>
      <w:r>
        <w:rPr>
          <w:rFonts w:ascii="Times New Roman" w:hAnsi="Times New Roman" w:eastAsia="Times New Roman" w:cs="Times New Roman"/>
          <w:spacing w:val="49"/>
        </w:rPr>
        <w:t>11</w:t>
      </w:r>
      <w:r>
        <w:rPr>
          <w:spacing w:val="49"/>
        </w:rPr>
        <w:t>号),</w:t>
      </w:r>
      <w:r>
        <w:rPr>
          <w:spacing w:val="48"/>
        </w:rPr>
        <w:t>对其处以人民</w:t>
      </w:r>
      <w:r>
        <w:rPr>
          <w:spacing w:val="10"/>
        </w:rPr>
        <w:t>币10800元。孙</w:t>
      </w:r>
      <w:r>
        <w:rPr>
          <w:rFonts w:hint="eastAsia"/>
          <w:spacing w:val="10"/>
          <w:lang w:val="en-US" w:eastAsia="zh-CN"/>
        </w:rPr>
        <w:t>XX</w:t>
      </w:r>
      <w:r>
        <w:rPr>
          <w:spacing w:val="10"/>
        </w:rPr>
        <w:t>在规定期限内足额缴纳罚款。</w:t>
      </w:r>
    </w:p>
    <w:p w14:paraId="7B2F675A">
      <w:pPr>
        <w:pStyle w:val="2"/>
        <w:spacing w:before="26" w:line="225" w:lineRule="auto"/>
        <w:ind w:left="1174"/>
        <w:rPr>
          <w:b/>
          <w:bCs/>
          <w:sz w:val="65"/>
          <w:szCs w:val="65"/>
        </w:rPr>
      </w:pPr>
      <w:r>
        <w:rPr>
          <w:b/>
          <w:bCs/>
          <w:spacing w:val="-38"/>
          <w:sz w:val="65"/>
          <w:szCs w:val="65"/>
        </w:rPr>
        <w:t>2.刘</w:t>
      </w:r>
      <w:r>
        <w:rPr>
          <w:rFonts w:hint="eastAsia"/>
          <w:b/>
          <w:bCs/>
          <w:spacing w:val="-38"/>
          <w:sz w:val="65"/>
          <w:szCs w:val="65"/>
          <w:lang w:val="en-US" w:eastAsia="zh-CN"/>
        </w:rPr>
        <w:t>XX</w:t>
      </w:r>
      <w:r>
        <w:rPr>
          <w:b/>
          <w:bCs/>
          <w:spacing w:val="-38"/>
          <w:sz w:val="65"/>
          <w:szCs w:val="65"/>
        </w:rPr>
        <w:t>，企业生产厂长</w:t>
      </w:r>
    </w:p>
    <w:p w14:paraId="52A56604">
      <w:pPr>
        <w:pStyle w:val="2"/>
        <w:spacing w:before="220" w:line="325" w:lineRule="auto"/>
        <w:ind w:right="538" w:firstLine="1174"/>
      </w:pPr>
      <w:r>
        <w:rPr>
          <w:spacing w:val="-6"/>
        </w:rPr>
        <w:t>处理建议：未及时排查管控车间存在生产安</w:t>
      </w:r>
      <w:r>
        <w:rPr>
          <w:spacing w:val="-7"/>
        </w:rPr>
        <w:t>全事故风险，履</w:t>
      </w:r>
      <w:r>
        <w:rPr>
          <w:color w:val="707070"/>
          <w:spacing w:val="-7"/>
        </w:rPr>
        <w:t>行安全生产管理人员职责不到位，</w:t>
      </w:r>
      <w:r>
        <w:rPr>
          <w:spacing w:val="-7"/>
        </w:rPr>
        <w:t>对事故发生负有管理责任。违</w:t>
      </w:r>
      <w:r>
        <w:rPr>
          <w:color w:val="707070"/>
          <w:spacing w:val="-7"/>
        </w:rPr>
        <w:t>反了《中华人民共和国安全生产法</w:t>
      </w:r>
      <w:r>
        <w:rPr>
          <w:spacing w:val="-7"/>
        </w:rPr>
        <w:t>》第二十五条第一款第五项规</w:t>
      </w:r>
      <w:r>
        <w:rPr>
          <w:spacing w:val="-4"/>
        </w:rPr>
        <w:t>定。建议给予刘</w:t>
      </w:r>
      <w:r>
        <w:rPr>
          <w:rFonts w:hint="eastAsia"/>
          <w:spacing w:val="-4"/>
          <w:lang w:val="en-US" w:eastAsia="zh-CN"/>
        </w:rPr>
        <w:t>XX</w:t>
      </w:r>
      <w:r>
        <w:rPr>
          <w:spacing w:val="-4"/>
        </w:rPr>
        <w:t>罚款的行政处罚。</w:t>
      </w:r>
    </w:p>
    <w:p w14:paraId="31622152">
      <w:pPr>
        <w:pStyle w:val="2"/>
        <w:spacing w:before="6" w:line="322" w:lineRule="auto"/>
        <w:ind w:right="474" w:firstLine="1174"/>
        <w:jc w:val="both"/>
      </w:pPr>
      <w:r>
        <w:rPr>
          <w:spacing w:val="38"/>
        </w:rPr>
        <w:t>处理建议落实情况：法库县应急管理局于2024年9月5日</w:t>
      </w:r>
      <w:r>
        <w:rPr>
          <w:spacing w:val="26"/>
        </w:rPr>
        <w:t>对其进行立案。2024年10月9日，县应急局对刘</w:t>
      </w:r>
      <w:r>
        <w:rPr>
          <w:rFonts w:hint="eastAsia"/>
          <w:spacing w:val="26"/>
          <w:lang w:val="en-US" w:eastAsia="zh-CN"/>
        </w:rPr>
        <w:t>XX</w:t>
      </w:r>
      <w:r>
        <w:rPr>
          <w:spacing w:val="26"/>
        </w:rPr>
        <w:t>下达行政</w:t>
      </w:r>
      <w:r>
        <w:rPr>
          <w:spacing w:val="49"/>
        </w:rPr>
        <w:t>处罚决定书((法)应急罚〔2024〕</w:t>
      </w:r>
      <w:r>
        <w:rPr>
          <w:rFonts w:ascii="Times New Roman" w:hAnsi="Times New Roman" w:eastAsia="Times New Roman" w:cs="Times New Roman"/>
        </w:rPr>
        <w:t>sg</w:t>
      </w:r>
      <w:r>
        <w:rPr>
          <w:rFonts w:ascii="Times New Roman" w:hAnsi="Times New Roman" w:eastAsia="Times New Roman" w:cs="Times New Roman"/>
          <w:spacing w:val="49"/>
        </w:rPr>
        <w:t>12</w:t>
      </w:r>
      <w:r>
        <w:rPr>
          <w:spacing w:val="49"/>
        </w:rPr>
        <w:t>号),对其处以人民</w:t>
      </w:r>
      <w:r>
        <w:rPr>
          <w:spacing w:val="14"/>
        </w:rPr>
        <w:t>币8640元。刘</w:t>
      </w:r>
      <w:r>
        <w:rPr>
          <w:rFonts w:hint="eastAsia"/>
          <w:spacing w:val="14"/>
          <w:lang w:val="en-US" w:eastAsia="zh-CN"/>
        </w:rPr>
        <w:t>XX</w:t>
      </w:r>
      <w:r>
        <w:rPr>
          <w:spacing w:val="14"/>
        </w:rPr>
        <w:t>在规定期限内足额缴</w:t>
      </w:r>
      <w:r>
        <w:rPr>
          <w:spacing w:val="13"/>
        </w:rPr>
        <w:t>纳罚款。</w:t>
      </w:r>
    </w:p>
    <w:p w14:paraId="5A5DB444">
      <w:pPr>
        <w:pStyle w:val="2"/>
        <w:spacing w:before="39" w:line="227" w:lineRule="auto"/>
        <w:ind w:left="1174"/>
        <w:rPr>
          <w:b/>
          <w:bCs/>
          <w:sz w:val="65"/>
          <w:szCs w:val="65"/>
        </w:rPr>
      </w:pPr>
      <w:r>
        <w:rPr>
          <w:b/>
          <w:bCs/>
          <w:color w:val="707070"/>
          <w:spacing w:val="-43"/>
          <w:sz w:val="65"/>
          <w:szCs w:val="65"/>
        </w:rPr>
        <w:t>3.高</w:t>
      </w:r>
      <w:r>
        <w:rPr>
          <w:rFonts w:hint="eastAsia"/>
          <w:b/>
          <w:bCs/>
          <w:color w:val="707070"/>
          <w:spacing w:val="-43"/>
          <w:sz w:val="65"/>
          <w:szCs w:val="65"/>
          <w:lang w:val="en-US" w:eastAsia="zh-CN"/>
        </w:rPr>
        <w:t>XX</w:t>
      </w:r>
      <w:r>
        <w:rPr>
          <w:b/>
          <w:bCs/>
          <w:color w:val="707070"/>
          <w:spacing w:val="-43"/>
          <w:sz w:val="65"/>
          <w:szCs w:val="65"/>
        </w:rPr>
        <w:t>，企业安全员</w:t>
      </w:r>
    </w:p>
    <w:p w14:paraId="239342DB">
      <w:pPr>
        <w:pStyle w:val="2"/>
        <w:spacing w:before="204" w:line="331" w:lineRule="auto"/>
        <w:ind w:firstLine="1174"/>
        <w:rPr>
          <w:sz w:val="58"/>
          <w:szCs w:val="58"/>
        </w:rPr>
      </w:pPr>
      <w:r>
        <w:rPr>
          <w:spacing w:val="-3"/>
        </w:rPr>
        <w:t>处理建议：作为企业的安全员，履行安全生产管</w:t>
      </w:r>
      <w:r>
        <w:rPr>
          <w:spacing w:val="-4"/>
        </w:rPr>
        <w:t>理人员职责不到位，督促落实本单位重大危险源的安全管</w:t>
      </w:r>
      <w:r>
        <w:rPr>
          <w:spacing w:val="-5"/>
        </w:rPr>
        <w:t>理措施不到位；对</w:t>
      </w:r>
      <w:r>
        <w:rPr>
          <w:spacing w:val="3"/>
        </w:rPr>
        <w:t>事故发生负有管理责任。违反了《中华人民共和国安</w:t>
      </w:r>
      <w:r>
        <w:rPr>
          <w:spacing w:val="2"/>
        </w:rPr>
        <w:t>全生产法》</w:t>
      </w:r>
      <w:r>
        <w:rPr>
          <w:spacing w:val="11"/>
          <w:sz w:val="58"/>
          <w:szCs w:val="58"/>
        </w:rPr>
        <w:t>第二十五条第一款第三项规定。建议给予高</w:t>
      </w:r>
      <w:r>
        <w:rPr>
          <w:rFonts w:hint="eastAsia"/>
          <w:spacing w:val="11"/>
          <w:sz w:val="58"/>
          <w:szCs w:val="58"/>
          <w:lang w:val="en-US" w:eastAsia="zh-CN"/>
        </w:rPr>
        <w:t>XX</w:t>
      </w:r>
      <w:r>
        <w:rPr>
          <w:spacing w:val="11"/>
          <w:sz w:val="58"/>
          <w:szCs w:val="58"/>
        </w:rPr>
        <w:t>罚款的行政处罚。</w:t>
      </w:r>
    </w:p>
    <w:p w14:paraId="09AB4A3D">
      <w:pPr>
        <w:pStyle w:val="2"/>
        <w:spacing w:before="8" w:line="326" w:lineRule="auto"/>
        <w:ind w:right="474" w:firstLine="1174"/>
      </w:pPr>
      <w:r>
        <w:rPr>
          <w:spacing w:val="36"/>
        </w:rPr>
        <w:t>处理建议落实情况：法库县应急管理局于2024年9月5日</w:t>
      </w:r>
      <w:r>
        <w:rPr>
          <w:spacing w:val="26"/>
        </w:rPr>
        <w:t>对其进行立案。2024年10月9日，县应急局对高</w:t>
      </w:r>
      <w:r>
        <w:rPr>
          <w:rFonts w:hint="eastAsia"/>
          <w:spacing w:val="26"/>
          <w:lang w:val="en-US" w:eastAsia="zh-CN"/>
        </w:rPr>
        <w:t>XX</w:t>
      </w:r>
      <w:r>
        <w:rPr>
          <w:spacing w:val="26"/>
        </w:rPr>
        <w:t>下达行政</w:t>
      </w:r>
      <w:r>
        <w:rPr>
          <w:spacing w:val="47"/>
        </w:rPr>
        <w:t>处罚决定书((法)应急罚〔2024〕</w:t>
      </w:r>
      <w:r>
        <w:rPr>
          <w:rFonts w:ascii="Times New Roman" w:hAnsi="Times New Roman" w:eastAsia="Times New Roman" w:cs="Times New Roman"/>
        </w:rPr>
        <w:t>sg</w:t>
      </w:r>
      <w:r>
        <w:rPr>
          <w:rFonts w:ascii="Times New Roman" w:hAnsi="Times New Roman" w:eastAsia="Times New Roman" w:cs="Times New Roman"/>
          <w:spacing w:val="47"/>
        </w:rPr>
        <w:t>13</w:t>
      </w:r>
      <w:r>
        <w:rPr>
          <w:spacing w:val="47"/>
        </w:rPr>
        <w:t>号),对其处以人民</w:t>
      </w:r>
      <w:r>
        <w:rPr>
          <w:spacing w:val="10"/>
        </w:rPr>
        <w:t>币5400元。高</w:t>
      </w:r>
      <w:r>
        <w:rPr>
          <w:rFonts w:hint="eastAsia"/>
          <w:spacing w:val="10"/>
          <w:lang w:val="en-US" w:eastAsia="zh-CN"/>
        </w:rPr>
        <w:t>XX</w:t>
      </w:r>
      <w:r>
        <w:rPr>
          <w:spacing w:val="10"/>
        </w:rPr>
        <w:t>在规定期限内足额缴纳罚款。</w:t>
      </w:r>
    </w:p>
    <w:p w14:paraId="1BD99954">
      <w:pPr>
        <w:spacing w:before="1" w:line="222" w:lineRule="auto"/>
        <w:ind w:left="1174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color w:val="707070"/>
          <w:spacing w:val="3"/>
          <w:sz w:val="60"/>
          <w:szCs w:val="60"/>
        </w:rPr>
        <w:t>三、相关部门汲取事故教训、强化整改措施落实情况</w:t>
      </w:r>
    </w:p>
    <w:p w14:paraId="4CDD010A">
      <w:pPr>
        <w:pStyle w:val="2"/>
        <w:spacing w:before="316" w:line="224" w:lineRule="auto"/>
        <w:ind w:left="1454"/>
        <w:rPr>
          <w:rFonts w:ascii="Arial"/>
          <w:sz w:val="21"/>
        </w:rPr>
      </w:pPr>
      <w:r>
        <w:rPr>
          <w:spacing w:val="20"/>
        </w:rPr>
        <w:t>(一)沈阳新宏远陶瓷有限公司事故防范措施落实情况</w:t>
      </w:r>
    </w:p>
    <w:p w14:paraId="0F269A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5" w:line="300" w:lineRule="auto"/>
        <w:ind w:left="113" w:right="113" w:firstLine="1372"/>
        <w:textAlignment w:val="baseline"/>
      </w:pPr>
      <w:r>
        <w:rPr>
          <w:rFonts w:ascii="Times New Roman" w:hAnsi="Times New Roman" w:eastAsia="Times New Roman" w:cs="Times New Roman"/>
          <w:spacing w:val="-13"/>
        </w:rPr>
        <w:t>1.</w:t>
      </w:r>
      <w:r>
        <w:rPr>
          <w:spacing w:val="-13"/>
        </w:rPr>
        <w:t>认真履行安全生产的主体责任，</w:t>
      </w:r>
      <w:r>
        <w:rPr>
          <w:color w:val="606070"/>
          <w:spacing w:val="-13"/>
        </w:rPr>
        <w:t>总结和汲取</w:t>
      </w:r>
      <w:r>
        <w:rPr>
          <w:spacing w:val="-13"/>
        </w:rPr>
        <w:t>事故教训，举</w:t>
      </w:r>
      <w:r>
        <w:rPr>
          <w:spacing w:val="-7"/>
        </w:rPr>
        <w:t>一反三，落实安全生产规章制度，深入推进双重预防机制建设，</w:t>
      </w:r>
      <w:r>
        <w:rPr>
          <w:spacing w:val="-13"/>
        </w:rPr>
        <w:t>进一步加强对生产现场的安全管理，及时排查治理生产安全事故</w:t>
      </w:r>
      <w:r>
        <w:rPr>
          <w:spacing w:val="-14"/>
        </w:rPr>
        <w:t>隐患，全面提高企业安全管理水平。</w:t>
      </w:r>
    </w:p>
    <w:p w14:paraId="0528CC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4" w:lineRule="auto"/>
        <w:ind w:left="113" w:right="162" w:firstLine="1319"/>
        <w:textAlignment w:val="baseline"/>
      </w:pPr>
      <w:r>
        <w:rPr>
          <w:rFonts w:ascii="Times New Roman" w:hAnsi="Times New Roman" w:eastAsia="Times New Roman" w:cs="Times New Roman"/>
          <w:spacing w:val="-10"/>
        </w:rPr>
        <w:t>2.</w:t>
      </w:r>
      <w:r>
        <w:rPr>
          <w:spacing w:val="-10"/>
        </w:rPr>
        <w:t>加强安全教育培训工作，严格执行教育培训制度，严格职</w:t>
      </w:r>
      <w:r>
        <w:rPr>
          <w:spacing w:val="-1"/>
        </w:rPr>
        <w:t>工的三级教育。针对本起事故，严格按照“四不放过”,对全体</w:t>
      </w:r>
      <w:r>
        <w:rPr>
          <w:spacing w:val="-18"/>
        </w:rPr>
        <w:t>员工进行一次安全生产培训和警示教育。</w:t>
      </w:r>
      <w:r>
        <w:rPr>
          <w:color w:val="606070"/>
          <w:spacing w:val="-18"/>
        </w:rPr>
        <w:t>加强日常安全生产</w:t>
      </w:r>
      <w:r>
        <w:rPr>
          <w:color w:val="606070"/>
          <w:spacing w:val="-19"/>
        </w:rPr>
        <w:t>教育，</w:t>
      </w:r>
      <w:r>
        <w:rPr>
          <w:color w:val="606070"/>
          <w:spacing w:val="-10"/>
        </w:rPr>
        <w:t>全面提高员工安全生产意识，提高作业人员对危险因素和事故隐</w:t>
      </w:r>
    </w:p>
    <w:p w14:paraId="1B29D4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113"/>
        <w:textAlignment w:val="baseline"/>
      </w:pPr>
      <w:r>
        <w:rPr>
          <w:spacing w:val="-18"/>
        </w:rPr>
        <w:t>患的辨识能力。</w:t>
      </w:r>
    </w:p>
    <w:p w14:paraId="5C3FC7A6">
      <w:pPr>
        <w:pStyle w:val="2"/>
        <w:spacing w:before="361" w:line="320" w:lineRule="auto"/>
        <w:ind w:left="116" w:right="497" w:firstLine="1490"/>
        <w:jc w:val="both"/>
      </w:pPr>
      <w:r>
        <w:rPr>
          <w:spacing w:val="2"/>
        </w:rPr>
        <w:t>(二)龙山街道加强辖区企业安全监管，</w:t>
      </w:r>
      <w:r>
        <w:rPr>
          <w:color w:val="606070"/>
          <w:spacing w:val="2"/>
        </w:rPr>
        <w:t>督促辖区企业</w:t>
      </w:r>
      <w:r>
        <w:rPr>
          <w:color w:val="606070"/>
          <w:spacing w:val="1"/>
        </w:rPr>
        <w:t>主要</w:t>
      </w:r>
      <w:r>
        <w:rPr>
          <w:spacing w:val="-13"/>
        </w:rPr>
        <w:t>负责人和安全生产管理人员严格落实安全生产责任，认真开展生</w:t>
      </w:r>
      <w:r>
        <w:rPr>
          <w:spacing w:val="-8"/>
        </w:rPr>
        <w:t>产安全事故隐患排查治理，遏制生产安全事故发生。</w:t>
      </w:r>
    </w:p>
    <w:p w14:paraId="6431B276">
      <w:pPr>
        <w:spacing w:before="55" w:line="222" w:lineRule="auto"/>
        <w:ind w:left="1364"/>
        <w:rPr>
          <w:rFonts w:ascii="黑体" w:hAnsi="黑体" w:eastAsia="黑体" w:cs="黑体"/>
          <w:sz w:val="58"/>
          <w:szCs w:val="58"/>
        </w:rPr>
      </w:pPr>
      <w:r>
        <w:rPr>
          <w:rFonts w:ascii="黑体" w:hAnsi="黑体" w:eastAsia="黑体" w:cs="黑体"/>
          <w:color w:val="606070"/>
          <w:spacing w:val="11"/>
          <w:sz w:val="58"/>
          <w:szCs w:val="58"/>
        </w:rPr>
        <w:t>四、评估结论意见</w:t>
      </w:r>
    </w:p>
    <w:p w14:paraId="081C234E">
      <w:pPr>
        <w:pStyle w:val="2"/>
        <w:spacing w:before="313" w:line="326" w:lineRule="auto"/>
        <w:ind w:left="80" w:right="497" w:firstLine="1256"/>
        <w:jc w:val="both"/>
      </w:pPr>
      <w:r>
        <w:rPr>
          <w:color w:val="606070"/>
          <w:spacing w:val="-11"/>
        </w:rPr>
        <w:t>评估组综合评估后一致认为，</w:t>
      </w:r>
      <w:r>
        <w:rPr>
          <w:spacing w:val="-11"/>
        </w:rPr>
        <w:t>本起事故中各责任单位和责任</w:t>
      </w:r>
      <w:r>
        <w:rPr>
          <w:spacing w:val="-9"/>
        </w:rPr>
        <w:t>人员均已按照事故调查报告提出的处理意见处理到</w:t>
      </w:r>
      <w:r>
        <w:rPr>
          <w:spacing w:val="-10"/>
        </w:rPr>
        <w:t>位；事故发生</w:t>
      </w:r>
      <w:r>
        <w:rPr>
          <w:color w:val="606070"/>
          <w:spacing w:val="-10"/>
        </w:rPr>
        <w:t>单位吸取事故教训，举一反三，</w:t>
      </w:r>
      <w:r>
        <w:rPr>
          <w:spacing w:val="-10"/>
        </w:rPr>
        <w:t>认真落实事故调查报告提出的整</w:t>
      </w:r>
      <w:r>
        <w:rPr>
          <w:spacing w:val="-9"/>
        </w:rPr>
        <w:t>改措施，消除事故隐患；被评估单位基本落实了事故调查报告责任追究和整改措施要求。</w:t>
      </w:r>
    </w:p>
    <w:p w14:paraId="738A0799">
      <w:pPr>
        <w:spacing w:line="288" w:lineRule="auto"/>
        <w:rPr>
          <w:rFonts w:ascii="Arial"/>
          <w:sz w:val="21"/>
        </w:rPr>
      </w:pPr>
    </w:p>
    <w:p w14:paraId="19E110CC">
      <w:pPr>
        <w:spacing w:line="288" w:lineRule="auto"/>
        <w:rPr>
          <w:rFonts w:ascii="Arial"/>
          <w:sz w:val="21"/>
        </w:rPr>
      </w:pPr>
    </w:p>
    <w:p w14:paraId="0A7D280C">
      <w:pPr>
        <w:spacing w:line="288" w:lineRule="auto"/>
        <w:rPr>
          <w:rFonts w:ascii="Arial"/>
          <w:sz w:val="21"/>
        </w:rPr>
      </w:pPr>
    </w:p>
    <w:p w14:paraId="29822600">
      <w:pPr>
        <w:spacing w:line="288" w:lineRule="auto"/>
        <w:rPr>
          <w:rFonts w:ascii="Arial"/>
          <w:sz w:val="21"/>
        </w:rPr>
      </w:pPr>
    </w:p>
    <w:p w14:paraId="432A3BA5">
      <w:pPr>
        <w:spacing w:line="288" w:lineRule="auto"/>
        <w:rPr>
          <w:rFonts w:ascii="Arial"/>
          <w:sz w:val="21"/>
        </w:rPr>
      </w:pPr>
    </w:p>
    <w:p w14:paraId="4933435D">
      <w:pPr>
        <w:spacing w:line="288" w:lineRule="auto"/>
        <w:rPr>
          <w:rFonts w:ascii="Arial"/>
          <w:sz w:val="21"/>
        </w:rPr>
      </w:pPr>
    </w:p>
    <w:p w14:paraId="1330E720">
      <w:pPr>
        <w:spacing w:line="288" w:lineRule="auto"/>
        <w:rPr>
          <w:rFonts w:ascii="Arial"/>
          <w:sz w:val="21"/>
        </w:rPr>
      </w:pPr>
    </w:p>
    <w:p w14:paraId="780D5686">
      <w:pPr>
        <w:spacing w:line="288" w:lineRule="auto"/>
        <w:rPr>
          <w:rFonts w:ascii="Arial"/>
          <w:sz w:val="21"/>
        </w:rPr>
      </w:pPr>
    </w:p>
    <w:p w14:paraId="673E1518">
      <w:pPr>
        <w:spacing w:line="288" w:lineRule="auto"/>
        <w:rPr>
          <w:rFonts w:ascii="Arial"/>
          <w:sz w:val="21"/>
        </w:rPr>
      </w:pPr>
    </w:p>
    <w:p w14:paraId="6E7FCA2C">
      <w:pPr>
        <w:spacing w:line="288" w:lineRule="auto"/>
        <w:rPr>
          <w:rFonts w:ascii="Arial"/>
          <w:sz w:val="21"/>
        </w:rPr>
      </w:pPr>
    </w:p>
    <w:p w14:paraId="3435DCC0">
      <w:pPr>
        <w:spacing w:line="288" w:lineRule="auto"/>
        <w:rPr>
          <w:rFonts w:ascii="Arial"/>
          <w:sz w:val="21"/>
        </w:rPr>
      </w:pPr>
    </w:p>
    <w:p w14:paraId="47E6B6FF">
      <w:pPr>
        <w:spacing w:line="288" w:lineRule="auto"/>
        <w:rPr>
          <w:rFonts w:ascii="Arial"/>
          <w:sz w:val="21"/>
        </w:rPr>
      </w:pPr>
    </w:p>
    <w:p w14:paraId="2EB9F412">
      <w:pPr>
        <w:spacing w:line="288" w:lineRule="auto"/>
        <w:rPr>
          <w:rFonts w:ascii="Arial"/>
          <w:sz w:val="21"/>
        </w:rPr>
      </w:pPr>
    </w:p>
    <w:p w14:paraId="21F8BD5E">
      <w:pPr>
        <w:spacing w:line="288" w:lineRule="auto"/>
        <w:rPr>
          <w:rFonts w:ascii="Arial"/>
          <w:sz w:val="21"/>
        </w:rPr>
      </w:pPr>
    </w:p>
    <w:p w14:paraId="66AF6B99">
      <w:pPr>
        <w:spacing w:line="288" w:lineRule="auto"/>
        <w:rPr>
          <w:rFonts w:ascii="Arial"/>
          <w:sz w:val="21"/>
        </w:rPr>
      </w:pPr>
    </w:p>
    <w:p w14:paraId="1C50F306">
      <w:pPr>
        <w:spacing w:line="288" w:lineRule="auto"/>
        <w:rPr>
          <w:rFonts w:ascii="Arial"/>
          <w:sz w:val="21"/>
        </w:rPr>
      </w:pPr>
    </w:p>
    <w:p w14:paraId="3C558F31">
      <w:pPr>
        <w:spacing w:line="288" w:lineRule="auto"/>
        <w:rPr>
          <w:rFonts w:ascii="Arial"/>
          <w:sz w:val="21"/>
        </w:rPr>
      </w:pPr>
    </w:p>
    <w:p w14:paraId="6F956FF0">
      <w:pPr>
        <w:spacing w:line="288" w:lineRule="auto"/>
        <w:rPr>
          <w:rFonts w:ascii="Arial"/>
          <w:sz w:val="21"/>
        </w:rPr>
      </w:pPr>
    </w:p>
    <w:p w14:paraId="5AAF620C">
      <w:pPr>
        <w:spacing w:line="288" w:lineRule="auto"/>
        <w:rPr>
          <w:rFonts w:ascii="Arial"/>
          <w:sz w:val="21"/>
        </w:rPr>
      </w:pPr>
    </w:p>
    <w:p w14:paraId="284B8DE1">
      <w:pPr>
        <w:spacing w:line="288" w:lineRule="auto"/>
        <w:rPr>
          <w:rFonts w:ascii="Arial"/>
          <w:sz w:val="21"/>
        </w:rPr>
      </w:pPr>
    </w:p>
    <w:p w14:paraId="44AFC2DC">
      <w:pPr>
        <w:pStyle w:val="2"/>
        <w:spacing w:before="195" w:line="223" w:lineRule="auto"/>
        <w:jc w:val="right"/>
      </w:pPr>
      <w:r>
        <w:rPr>
          <w:spacing w:val="-13"/>
        </w:rPr>
        <w:t>法库龙山沈阳新宏远陶瓷有限公司“5·26”</w:t>
      </w:r>
    </w:p>
    <w:p w14:paraId="2AB258B3">
      <w:pPr>
        <w:pStyle w:val="2"/>
        <w:spacing w:before="290" w:line="315" w:lineRule="auto"/>
        <w:ind w:left="8485" w:right="2084" w:firstLine="18"/>
      </w:pPr>
      <w:r>
        <w:rPr>
          <w:spacing w:val="-3"/>
        </w:rPr>
        <w:t>一般机械伤害事故评估组</w:t>
      </w:r>
      <w:r>
        <w:rPr>
          <w:spacing w:val="41"/>
        </w:rPr>
        <w:t>法库县应急管理局(代)</w:t>
      </w:r>
    </w:p>
    <w:p w14:paraId="1AD88D93">
      <w:pPr>
        <w:pStyle w:val="2"/>
        <w:spacing w:before="3" w:line="222" w:lineRule="auto"/>
        <w:ind w:left="9661"/>
      </w:pPr>
      <w:r>
        <w:rPr>
          <w:spacing w:val="79"/>
        </w:rPr>
        <w:t>2025年5月8日</w:t>
      </w:r>
    </w:p>
    <w:sectPr>
      <w:footerReference r:id="rId5" w:type="default"/>
      <w:pgSz w:w="22539" w:h="31680"/>
      <w:pgMar w:top="2692" w:right="2786" w:bottom="2377" w:left="2595" w:header="0" w:footer="186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839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776C75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776C75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6122856"/>
    <w:rsid w:val="75F270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60"/>
      <w:szCs w:val="6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1991</Words>
  <Characters>2103</Characters>
  <TotalTime>6</TotalTime>
  <ScaleCrop>false</ScaleCrop>
  <LinksUpToDate>false</LinksUpToDate>
  <CharactersWithSpaces>2103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2026-10-21T17:56:00Z</dcterms:created>
  <dc:creator>Administrator</dc:creator>
  <cp:lastModifiedBy>AFJL</cp:lastModifiedBy>
  <dcterms:modified xsi:type="dcterms:W3CDTF">2026-10-21T10:15:48Z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2026-10-21T17:56:15Z</vt:filetime>
  </property>
  <property fmtid="{D5CDD505-2E9C-101B-9397-08002B2CF9AE}" pid="4" name="UsrData">
    <vt:lpwstr>6ad88c374e192f001f0b9dacwl</vt:lpwstr>
  </property>
  <property fmtid="{D5CDD505-2E9C-101B-9397-08002B2CF9AE}" pid="5" name="KSOTemplateDocerSaveRecord">
    <vt:lpwstr>eyJoZGlkIjoiOWZiZjQxZmM1MDc3ZDFiZmViZTIxMjAyMjdmNWY5YjkifQ==</vt:lpwstr>
  </property>
  <property fmtid="{D5CDD505-2E9C-101B-9397-08002B2CF9AE}" pid="6" name="KSOProductBuildVer">
    <vt:lpwstr>2052-12.1.0.29158</vt:lpwstr>
  </property>
  <property fmtid="{D5CDD505-2E9C-101B-9397-08002B2CF9AE}" pid="7" name="ICV">
    <vt:lpwstr>3C0BE82547E344D1ABA3582B7EE4ED56_13</vt:lpwstr>
  </property>
</Properties>
</file>