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222222"/>
          <w:spacing w:val="-12"/>
          <w:sz w:val="30"/>
          <w:szCs w:val="30"/>
          <w:lang w:val="en-US" w:eastAsia="zh-CN"/>
        </w:rPr>
      </w:pPr>
      <w:bookmarkStart w:id="0" w:name="_GoBack"/>
      <w:bookmarkEnd w:id="0"/>
      <w:r>
        <w:rPr>
          <w:rFonts w:hint="eastAsia" w:ascii="仿宋" w:hAnsi="仿宋" w:eastAsia="仿宋" w:cs="仿宋"/>
          <w:color w:val="222222"/>
          <w:spacing w:val="-12"/>
          <w:sz w:val="30"/>
          <w:szCs w:val="30"/>
        </w:rPr>
        <w:t>附件</w:t>
      </w:r>
      <w:r>
        <w:rPr>
          <w:rFonts w:hint="eastAsia" w:ascii="仿宋" w:hAnsi="仿宋" w:eastAsia="仿宋" w:cs="仿宋"/>
          <w:color w:val="222222"/>
          <w:spacing w:val="-12"/>
          <w:sz w:val="30"/>
          <w:szCs w:val="30"/>
          <w:lang w:val="en-US" w:eastAsia="zh-CN"/>
        </w:rPr>
        <w:t>1</w:t>
      </w:r>
    </w:p>
    <w:p>
      <w:pPr>
        <w:pStyle w:val="2"/>
        <w:numPr>
          <w:ilvl w:val="0"/>
          <w:numId w:val="0"/>
        </w:numPr>
        <w:bidi w:val="0"/>
        <w:jc w:val="center"/>
        <w:rPr>
          <w:rFonts w:hint="eastAsia" w:ascii="宋体" w:hAnsi="宋体" w:cs="宋体"/>
          <w:b/>
          <w:bCs/>
          <w:sz w:val="21"/>
          <w:szCs w:val="21"/>
          <w:lang w:val="en-US" w:eastAsia="zh-CN"/>
        </w:rPr>
      </w:pPr>
    </w:p>
    <w:p>
      <w:pPr>
        <w:pStyle w:val="2"/>
        <w:numPr>
          <w:ilvl w:val="0"/>
          <w:numId w:val="0"/>
        </w:numPr>
        <w:bidi w:val="0"/>
        <w:jc w:val="center"/>
        <w:rPr>
          <w:rFonts w:hint="eastAsia" w:ascii="宋体" w:hAnsi="宋体" w:cs="宋体"/>
          <w:b/>
          <w:bCs/>
          <w:sz w:val="21"/>
          <w:szCs w:val="21"/>
          <w:lang w:val="en-US" w:eastAsia="zh-CN"/>
        </w:rPr>
      </w:pPr>
    </w:p>
    <w:p>
      <w:pPr>
        <w:pStyle w:val="2"/>
        <w:numPr>
          <w:ilvl w:val="0"/>
          <w:numId w:val="0"/>
        </w:numPr>
        <w:bidi w:val="0"/>
        <w:jc w:val="both"/>
        <w:rPr>
          <w:rFonts w:hint="eastAsia" w:ascii="宋体" w:hAnsi="宋体" w:cs="宋体"/>
          <w:b/>
          <w:bCs/>
          <w:sz w:val="21"/>
          <w:szCs w:val="21"/>
          <w:lang w:val="en-US" w:eastAsia="zh-CN"/>
        </w:rPr>
      </w:pP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表1 法库县国有土地基准地价标准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1150"/>
        <w:gridCol w:w="1887"/>
        <w:gridCol w:w="1300"/>
        <w:gridCol w:w="1819"/>
        <w:gridCol w:w="1345"/>
        <w:gridCol w:w="1345"/>
        <w:gridCol w:w="1345"/>
        <w:gridCol w:w="1345"/>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6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土地用途（业态、主要功能）</w:t>
            </w:r>
          </w:p>
        </w:tc>
        <w:tc>
          <w:tcPr>
            <w:tcW w:w="23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基准地价标准（元/m²）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土地用途</w:t>
            </w:r>
          </w:p>
        </w:tc>
        <w:tc>
          <w:tcPr>
            <w:tcW w:w="10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一级类</w:t>
            </w: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二级类</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一级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二级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三级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四级</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类别编码</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类别名称</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类别名称</w:t>
            </w: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w:t>
            </w:r>
          </w:p>
        </w:tc>
        <w:tc>
          <w:tcPr>
            <w:tcW w:w="66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商业服务业用地</w:t>
            </w:r>
          </w:p>
        </w:tc>
        <w:tc>
          <w:tcPr>
            <w:tcW w:w="459"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949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699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460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329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商业用地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949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699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460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329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商务金融用地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807</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594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391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280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娱乐用地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712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524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345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247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其他商业服务业用地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712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524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345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247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备注：上表各用途土地级别参照商业服务业级别范围确定。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表2 法库县国有土地基准地价标准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9"/>
        <w:gridCol w:w="1402"/>
        <w:gridCol w:w="1419"/>
        <w:gridCol w:w="1402"/>
        <w:gridCol w:w="1796"/>
        <w:gridCol w:w="1337"/>
        <w:gridCol w:w="1337"/>
        <w:gridCol w:w="1337"/>
        <w:gridCol w:w="1337"/>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6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23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基准地价标准（元/m²）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07</w:t>
            </w:r>
          </w:p>
        </w:tc>
        <w:tc>
          <w:tcPr>
            <w:tcW w:w="50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住宅用地</w:t>
            </w:r>
          </w:p>
        </w:tc>
        <w:tc>
          <w:tcPr>
            <w:tcW w:w="11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763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575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303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0701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城镇住宅用地</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763</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575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399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303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备注：上表各用途土地级别参照居住级别范围确定。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表3 法库县国有土地基准地价标准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1234"/>
        <w:gridCol w:w="2643"/>
        <w:gridCol w:w="1278"/>
        <w:gridCol w:w="3787"/>
        <w:gridCol w:w="1006"/>
        <w:gridCol w:w="1023"/>
        <w:gridCol w:w="1006"/>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14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基准地价标准（元/㎡）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1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公共管理与公共服务用地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0805</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体育用地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10</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工矿用地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1001-1002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工业用地-采矿用地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仓储用地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1101-1102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物流仓储用地-储备库用地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公用设施用地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1301-1312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供水用地-其他公用设施用地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14</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绿地与开敞空间用地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1401-1403</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公园绿地-广场用地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283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9"/>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备注：上表各用途土地级别参照工业级别范围确定。</w:t>
            </w:r>
          </w:p>
        </w:tc>
      </w:tr>
    </w:tbl>
    <w:p>
      <w:pPr>
        <w:pStyle w:val="2"/>
        <w:numPr>
          <w:ilvl w:val="0"/>
          <w:numId w:val="0"/>
        </w:numPr>
        <w:bidi w:val="0"/>
        <w:spacing w:line="360" w:lineRule="auto"/>
        <w:jc w:val="cente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r>
        <w:rPr>
          <w:rFonts w:hint="eastAsia" w:ascii="宋体" w:hAnsi="宋体" w:eastAsia="宋体" w:cs="宋体"/>
          <w:b/>
          <w:bCs/>
          <w:sz w:val="32"/>
          <w:szCs w:val="32"/>
          <w:lang w:val="en-US" w:eastAsia="zh-CN"/>
        </w:rPr>
        <w:t>表4 法库县国有土地基准地价标准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892"/>
        <w:gridCol w:w="1773"/>
        <w:gridCol w:w="1110"/>
        <w:gridCol w:w="1702"/>
        <w:gridCol w:w="1481"/>
        <w:gridCol w:w="1481"/>
        <w:gridCol w:w="1482"/>
        <w:gridCol w:w="1482"/>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26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基准地价标准（元/m²）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名称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编码</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w:t>
            </w:r>
          </w:p>
        </w:tc>
        <w:tc>
          <w:tcPr>
            <w:tcW w:w="62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公共管理与公共服务用地</w:t>
            </w:r>
          </w:p>
        </w:tc>
        <w:tc>
          <w:tcPr>
            <w:tcW w:w="9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403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279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212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机关团体用地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534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403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279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212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 xml:space="preserve">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科研用地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403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279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212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文化用地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481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363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251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191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教育用地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403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279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212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医疗卫生用地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534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403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279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212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社会福利用地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481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363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251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191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备注：上表各用途土地级别参照公共管理与公共服务级别范围确定。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表5 法库县国有土地出让金标准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1150"/>
        <w:gridCol w:w="1887"/>
        <w:gridCol w:w="1300"/>
        <w:gridCol w:w="1819"/>
        <w:gridCol w:w="1345"/>
        <w:gridCol w:w="1345"/>
        <w:gridCol w:w="1345"/>
        <w:gridCol w:w="1345"/>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6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土地用途（业态、主要功能）</w:t>
            </w:r>
          </w:p>
        </w:tc>
        <w:tc>
          <w:tcPr>
            <w:tcW w:w="23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出让金标准（元/m²）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土地用途</w:t>
            </w:r>
          </w:p>
        </w:tc>
        <w:tc>
          <w:tcPr>
            <w:tcW w:w="10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一级类</w:t>
            </w:r>
          </w:p>
        </w:tc>
        <w:tc>
          <w:tcPr>
            <w:tcW w:w="10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二级类</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一级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二级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三级</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四级</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类别编码</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类别名称</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类别名称</w:t>
            </w: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w:t>
            </w:r>
          </w:p>
        </w:tc>
        <w:tc>
          <w:tcPr>
            <w:tcW w:w="66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商业服务业用地</w:t>
            </w:r>
          </w:p>
        </w:tc>
        <w:tc>
          <w:tcPr>
            <w:tcW w:w="459"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285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210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138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99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商业用地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285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210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138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99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商务金融用地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242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178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117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娱乐用地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214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157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104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74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0904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val="en-US" w:eastAsia="zh-CN" w:bidi="ar"/>
              </w:rPr>
              <w:t>其他商业服务业用地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214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157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104 </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74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i w:val="0"/>
                <w:iCs w:val="0"/>
                <w:snapToGrid w:val="0"/>
                <w:color w:val="000000"/>
                <w:kern w:val="0"/>
                <w:sz w:val="21"/>
                <w:szCs w:val="21"/>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备注：上表各用途土地级别参照商业服务业级别范围确定。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表6 法库县国有土地出让金标准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9"/>
        <w:gridCol w:w="1402"/>
        <w:gridCol w:w="1419"/>
        <w:gridCol w:w="1402"/>
        <w:gridCol w:w="1796"/>
        <w:gridCol w:w="1337"/>
        <w:gridCol w:w="1337"/>
        <w:gridCol w:w="1337"/>
        <w:gridCol w:w="1337"/>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6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23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出让金标准（元/m²）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11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07</w:t>
            </w:r>
          </w:p>
        </w:tc>
        <w:tc>
          <w:tcPr>
            <w:tcW w:w="50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住宅用地</w:t>
            </w:r>
          </w:p>
        </w:tc>
        <w:tc>
          <w:tcPr>
            <w:tcW w:w="1127"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229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173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91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0701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城镇住宅用地</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229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173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120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91 </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备注：上表各用途土地级别参照居住级别范围确定。</w:t>
            </w:r>
          </w:p>
        </w:tc>
      </w:tr>
    </w:tbl>
    <w:p>
      <w:pPr>
        <w:rPr>
          <w:rFonts w:hint="eastAsia" w:ascii="仿宋" w:hAnsi="仿宋" w:eastAsia="仿宋" w:cs="仿宋"/>
          <w:color w:val="222222"/>
          <w:spacing w:val="-12"/>
          <w:sz w:val="30"/>
          <w:szCs w:val="30"/>
        </w:rPr>
      </w:pPr>
    </w:p>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default"/>
          <w:b/>
          <w:bCs/>
          <w:lang w:val="en-US" w:eastAsia="zh-CN"/>
        </w:rPr>
      </w:pPr>
      <w:r>
        <w:rPr>
          <w:rFonts w:hint="eastAsia" w:ascii="宋体" w:hAnsi="宋体" w:eastAsia="宋体" w:cs="宋体"/>
          <w:b/>
          <w:bCs/>
          <w:sz w:val="32"/>
          <w:szCs w:val="32"/>
          <w:lang w:val="en-US" w:eastAsia="zh-CN"/>
        </w:rPr>
        <w:t>表7 法库县国有土地出让金标准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1234"/>
        <w:gridCol w:w="2643"/>
        <w:gridCol w:w="1278"/>
        <w:gridCol w:w="3787"/>
        <w:gridCol w:w="1006"/>
        <w:gridCol w:w="1023"/>
        <w:gridCol w:w="1006"/>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5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14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出让金标准（元/㎡）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1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类别编码</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公共管理与公共服务用地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0805</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体育用地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10</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工矿用地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1001-1002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工业用地-采矿用地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仓储用地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1101-1102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物流仓储用地-储备库用地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公用设施用地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1301-1312</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供水用地-其他公用设施用地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14</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绿地与开敞空间用地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1401-1403</w:t>
            </w:r>
          </w:p>
        </w:tc>
        <w:tc>
          <w:tcPr>
            <w:tcW w:w="1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公园绿地-广场用地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53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41 </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备注：上表各用途土地级别参照工业级别范围确定。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pStyle w:val="2"/>
        <w:numPr>
          <w:ilvl w:val="0"/>
          <w:numId w:val="0"/>
        </w:numPr>
        <w:bidi w:val="0"/>
        <w:spacing w:line="360" w:lineRule="auto"/>
        <w:jc w:val="center"/>
        <w:rPr>
          <w:rFonts w:hint="eastAsia" w:ascii="仿宋" w:hAnsi="仿宋" w:eastAsia="仿宋" w:cs="仿宋"/>
          <w:color w:val="222222"/>
          <w:spacing w:val="-12"/>
          <w:sz w:val="30"/>
          <w:szCs w:val="30"/>
        </w:rPr>
      </w:pPr>
      <w:r>
        <w:rPr>
          <w:rFonts w:hint="eastAsia" w:ascii="宋体" w:hAnsi="宋体" w:eastAsia="宋体" w:cs="宋体"/>
          <w:b/>
          <w:bCs/>
          <w:sz w:val="32"/>
          <w:szCs w:val="32"/>
          <w:lang w:val="en-US" w:eastAsia="zh-CN"/>
        </w:rPr>
        <w:t>表8 法库县国有土地出让金标准</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892"/>
        <w:gridCol w:w="1773"/>
        <w:gridCol w:w="1110"/>
        <w:gridCol w:w="1702"/>
        <w:gridCol w:w="1481"/>
        <w:gridCol w:w="1481"/>
        <w:gridCol w:w="1482"/>
        <w:gridCol w:w="1482"/>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3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土地用途（业态、主要功能）</w:t>
            </w:r>
          </w:p>
        </w:tc>
        <w:tc>
          <w:tcPr>
            <w:tcW w:w="263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出让金标准（元/m²）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土地用途</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一级类</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二级类</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一级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三级</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四级</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类别名称</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名称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编码</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w:t>
            </w:r>
          </w:p>
        </w:tc>
        <w:tc>
          <w:tcPr>
            <w:tcW w:w="62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公共管理与公共服务用地</w:t>
            </w:r>
          </w:p>
        </w:tc>
        <w:tc>
          <w:tcPr>
            <w:tcW w:w="99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64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机关团体用地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160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121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64 </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科研用地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64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文化用地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144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109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75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57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教育用地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64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医疗卫生用地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160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121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84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64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0807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社会福利用地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144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109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75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57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00" w:type="pct"/>
            <w:gridSpan w:val="1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备注：上表各用途土地级别参照公共管理与公共服务级别范围确定。</w:t>
            </w:r>
          </w:p>
        </w:tc>
      </w:tr>
    </w:tbl>
    <w:p>
      <w:pPr>
        <w:rPr>
          <w:rFonts w:hint="eastAsia" w:ascii="仿宋" w:hAnsi="仿宋" w:eastAsia="仿宋" w:cs="仿宋"/>
          <w:color w:val="222222"/>
          <w:spacing w:val="-12"/>
          <w:sz w:val="30"/>
          <w:szCs w:val="30"/>
        </w:rPr>
      </w:pPr>
      <w:r>
        <w:rPr>
          <w:rFonts w:hint="eastAsia" w:ascii="仿宋" w:hAnsi="仿宋" w:eastAsia="仿宋" w:cs="仿宋"/>
          <w:color w:val="222222"/>
          <w:spacing w:val="-12"/>
          <w:sz w:val="30"/>
          <w:szCs w:val="30"/>
        </w:rPr>
        <w:br w:type="page"/>
      </w:r>
    </w:p>
    <w:p>
      <w:pPr>
        <w:rPr>
          <w:rFonts w:hint="eastAsia" w:ascii="仿宋" w:hAnsi="仿宋" w:eastAsia="仿宋" w:cs="仿宋"/>
          <w:color w:val="222222"/>
          <w:spacing w:val="-12"/>
          <w:sz w:val="30"/>
          <w:szCs w:val="30"/>
        </w:rPr>
        <w:sectPr>
          <w:footerReference r:id="rId5" w:type="default"/>
          <w:pgSz w:w="16838" w:h="11906" w:orient="landscape"/>
          <w:pgMar w:top="1800" w:right="1440" w:bottom="1800" w:left="1440" w:header="851" w:footer="992" w:gutter="0"/>
          <w:cols w:space="425" w:num="1"/>
          <w:docGrid w:type="lines" w:linePitch="312" w:charSpace="0"/>
        </w:sectPr>
      </w:pPr>
    </w:p>
    <w:p>
      <w:pPr>
        <w:spacing w:before="139" w:line="360" w:lineRule="auto"/>
        <w:ind w:left="153"/>
        <w:rPr>
          <w:rFonts w:hint="eastAsia" w:ascii="仿宋" w:hAnsi="仿宋" w:eastAsia="仿宋" w:cs="仿宋"/>
          <w:sz w:val="30"/>
          <w:szCs w:val="30"/>
          <w:lang w:val="en-US" w:eastAsia="zh-CN"/>
        </w:rPr>
      </w:pPr>
      <w:r>
        <w:rPr>
          <w:rFonts w:hint="eastAsia" w:ascii="仿宋" w:hAnsi="仿宋" w:eastAsia="仿宋" w:cs="仿宋"/>
          <w:color w:val="222222"/>
          <w:spacing w:val="-12"/>
          <w:sz w:val="30"/>
          <w:szCs w:val="30"/>
        </w:rPr>
        <w:t>附件</w:t>
      </w:r>
      <w:r>
        <w:rPr>
          <w:rFonts w:hint="eastAsia" w:ascii="仿宋" w:hAnsi="仿宋" w:eastAsia="仿宋" w:cs="仿宋"/>
          <w:color w:val="222222"/>
          <w:spacing w:val="-12"/>
          <w:sz w:val="30"/>
          <w:szCs w:val="30"/>
          <w:lang w:val="en-US" w:eastAsia="zh-CN"/>
        </w:rPr>
        <w:t>2</w:t>
      </w:r>
    </w:p>
    <w:p>
      <w:pPr>
        <w:spacing w:before="232" w:line="240" w:lineRule="auto"/>
        <w:ind w:right="110"/>
        <w:jc w:val="center"/>
        <w:rPr>
          <w:rFonts w:hint="eastAsia" w:ascii="宋体" w:hAnsi="宋体" w:eastAsia="宋体" w:cs="宋体"/>
          <w:b/>
          <w:bCs/>
          <w:color w:val="222222"/>
          <w:spacing w:val="-3"/>
          <w:sz w:val="44"/>
          <w:szCs w:val="44"/>
          <w:lang w:val="en-US" w:eastAsia="en-US"/>
        </w:rPr>
      </w:pPr>
      <w:r>
        <w:rPr>
          <w:rFonts w:hint="eastAsia" w:ascii="宋体" w:hAnsi="宋体" w:eastAsia="宋体" w:cs="宋体"/>
          <w:b/>
          <w:bCs/>
          <w:color w:val="222222"/>
          <w:spacing w:val="-3"/>
          <w:sz w:val="44"/>
          <w:szCs w:val="44"/>
          <w:lang w:val="en-US" w:eastAsia="en-US"/>
        </w:rPr>
        <w:t>关于法库县城镇土地级别基准地价出让金</w:t>
      </w:r>
    </w:p>
    <w:p>
      <w:pPr>
        <w:spacing w:before="232" w:line="240" w:lineRule="auto"/>
        <w:ind w:right="110"/>
        <w:jc w:val="center"/>
        <w:rPr>
          <w:rFonts w:hint="eastAsia" w:ascii="宋体" w:hAnsi="宋体" w:eastAsia="宋体" w:cs="宋体"/>
          <w:color w:val="222222"/>
          <w:spacing w:val="-3"/>
          <w:sz w:val="44"/>
          <w:szCs w:val="44"/>
          <w:lang w:val="en-US" w:eastAsia="en-US"/>
        </w:rPr>
      </w:pPr>
      <w:r>
        <w:rPr>
          <w:rFonts w:hint="eastAsia" w:ascii="宋体" w:hAnsi="宋体" w:eastAsia="宋体" w:cs="宋体"/>
          <w:b/>
          <w:bCs/>
          <w:color w:val="222222"/>
          <w:spacing w:val="-3"/>
          <w:sz w:val="44"/>
          <w:szCs w:val="44"/>
          <w:lang w:val="en-US" w:eastAsia="en-US"/>
        </w:rPr>
        <w:t>标准使用</w:t>
      </w:r>
      <w:r>
        <w:rPr>
          <w:rFonts w:hint="eastAsia" w:ascii="宋体" w:hAnsi="宋体" w:eastAsia="宋体" w:cs="宋体"/>
          <w:b/>
          <w:bCs/>
          <w:color w:val="222222"/>
          <w:spacing w:val="-3"/>
          <w:sz w:val="44"/>
          <w:szCs w:val="44"/>
          <w:lang w:val="en-US" w:eastAsia="zh-CN"/>
        </w:rPr>
        <w:t>相</w:t>
      </w:r>
      <w:r>
        <w:rPr>
          <w:rFonts w:hint="eastAsia" w:ascii="宋体" w:hAnsi="宋体" w:eastAsia="宋体" w:cs="宋体"/>
          <w:b/>
          <w:bCs/>
          <w:color w:val="222222"/>
          <w:spacing w:val="-3"/>
          <w:sz w:val="44"/>
          <w:szCs w:val="44"/>
          <w:lang w:val="en-US" w:eastAsia="en-US"/>
        </w:rPr>
        <w:t>关问题的说明</w:t>
      </w:r>
    </w:p>
    <w:p>
      <w:pPr>
        <w:spacing w:before="122" w:line="240" w:lineRule="auto"/>
        <w:ind w:left="126"/>
        <w:outlineLvl w:val="1"/>
        <w:rPr>
          <w:rFonts w:hint="eastAsia" w:ascii="仿宋" w:hAnsi="仿宋" w:eastAsia="仿宋" w:cs="仿宋"/>
          <w:b/>
          <w:bCs/>
          <w:color w:val="222222"/>
          <w:spacing w:val="-3"/>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8" w:firstLineChars="200"/>
        <w:textAlignment w:val="baseline"/>
        <w:outlineLvl w:val="1"/>
        <w:rPr>
          <w:rFonts w:hint="eastAsia" w:ascii="仿宋" w:hAnsi="仿宋" w:eastAsia="仿宋" w:cs="仿宋"/>
          <w:b w:val="0"/>
          <w:bCs w:val="0"/>
          <w:sz w:val="32"/>
          <w:szCs w:val="32"/>
        </w:rPr>
      </w:pPr>
      <w:r>
        <w:rPr>
          <w:rFonts w:hint="eastAsia" w:ascii="仿宋" w:hAnsi="仿宋" w:eastAsia="仿宋" w:cs="仿宋"/>
          <w:b w:val="0"/>
          <w:bCs w:val="0"/>
          <w:color w:val="222222"/>
          <w:spacing w:val="-3"/>
          <w:sz w:val="32"/>
          <w:szCs w:val="32"/>
        </w:rPr>
        <w:t>一、土地级别确认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仿宋" w:hAnsi="仿宋" w:eastAsia="仿宋" w:cs="仿宋"/>
          <w:color w:val="222222"/>
          <w:spacing w:val="-3"/>
          <w:sz w:val="32"/>
          <w:szCs w:val="32"/>
          <w:lang w:val="en-US" w:eastAsia="zh-CN"/>
        </w:rPr>
      </w:pPr>
      <w:r>
        <w:rPr>
          <w:rFonts w:hint="eastAsia" w:ascii="仿宋" w:hAnsi="仿宋" w:eastAsia="仿宋" w:cs="仿宋"/>
          <w:color w:val="222222"/>
          <w:spacing w:val="-3"/>
          <w:sz w:val="32"/>
          <w:szCs w:val="32"/>
          <w:lang w:val="en-US" w:eastAsia="zh-CN"/>
        </w:rPr>
        <w:t>表1、表5中各土地用途土地级别参照商业服务业用途级别确定；表2、表6中各土地用途土地级别参照居住用途级别确定；表3、表7中各土地用途土地级别参照工业用途级别确定；表4、表8中各土地用途土地级别参照公共管理与公共服务用途级别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仿宋" w:hAnsi="仿宋" w:eastAsia="仿宋" w:cs="仿宋"/>
          <w:sz w:val="32"/>
          <w:szCs w:val="32"/>
        </w:rPr>
      </w:pPr>
      <w:r>
        <w:rPr>
          <w:rFonts w:hint="eastAsia" w:ascii="仿宋" w:hAnsi="仿宋" w:eastAsia="仿宋" w:cs="仿宋"/>
          <w:color w:val="222222"/>
          <w:spacing w:val="-3"/>
          <w:sz w:val="32"/>
          <w:szCs w:val="32"/>
          <w:lang w:val="en-US" w:eastAsia="zh-CN"/>
        </w:rPr>
        <w:t>表1、表5中用地分类以道路为级别界限的（不含高架路、封闭路等道路两侧不可通达或通达困难的），低级别一侧临路第一宗地归入高级别。</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二、价格标准说明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（一）基准地价内涵及设定条件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基准地价内涵为</w:t>
      </w:r>
      <w:r>
        <w:rPr>
          <w:rFonts w:hint="eastAsia" w:ascii="仿宋" w:hAnsi="仿宋" w:eastAsia="仿宋" w:cs="仿宋"/>
          <w:sz w:val="32"/>
          <w:szCs w:val="32"/>
          <w:lang w:val="en-US" w:eastAsia="zh-CN"/>
        </w:rPr>
        <w:t>法库县</w:t>
      </w:r>
      <w:r>
        <w:rPr>
          <w:rFonts w:hint="eastAsia" w:ascii="仿宋" w:hAnsi="仿宋" w:eastAsia="仿宋" w:cs="仿宋"/>
          <w:sz w:val="32"/>
          <w:szCs w:val="32"/>
        </w:rPr>
        <w:t>辖区范围内，在平均开发利用条件下，不同级别建设用地按照商业服务业、居住、工业</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公共管理与公共服务用地</w:t>
      </w:r>
      <w:r>
        <w:rPr>
          <w:rFonts w:hint="eastAsia" w:ascii="仿宋" w:hAnsi="仿宋" w:eastAsia="仿宋" w:cs="仿宋"/>
          <w:sz w:val="32"/>
          <w:szCs w:val="32"/>
        </w:rPr>
        <w:t>等用途分别确定的法定最高使用年期出让土地使用权区域平均价格。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1.价格表现形式：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基准地价</w:t>
      </w:r>
      <w:r>
        <w:rPr>
          <w:rFonts w:hint="eastAsia" w:ascii="仿宋" w:hAnsi="仿宋" w:eastAsia="仿宋" w:cs="仿宋"/>
          <w:sz w:val="32"/>
          <w:szCs w:val="32"/>
        </w:rPr>
        <w:t>为地面价格。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2.开发程度设定：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表1</w:t>
      </w:r>
      <w:r>
        <w:rPr>
          <w:rFonts w:hint="eastAsia" w:ascii="仿宋" w:hAnsi="仿宋" w:eastAsia="仿宋" w:cs="仿宋"/>
          <w:sz w:val="32"/>
          <w:szCs w:val="32"/>
          <w:lang w:val="en-US" w:eastAsia="zh-CN"/>
        </w:rPr>
        <w:t>和表4</w:t>
      </w:r>
      <w:r>
        <w:rPr>
          <w:rFonts w:hint="eastAsia" w:ascii="仿宋" w:hAnsi="仿宋" w:eastAsia="仿宋" w:cs="仿宋"/>
          <w:sz w:val="32"/>
          <w:szCs w:val="32"/>
        </w:rPr>
        <w:t>中各土地用途设定为“六通一平”，即宗地红线外通路、供水、排水、通电、通讯、供热及宗地红线内场地平整。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表2中居住用途设定为“七通一平”，即宗地红线外通路、供水、排水、通电、通讯、供气、供热及宗地红线内场地平整。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表3中各土地用途设定为“五通一平”，即宗地红线外通路、供水、排水、通电、通讯及宗地红线内场地平整。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3.平均容积率设定：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表1、表2</w:t>
      </w:r>
      <w:r>
        <w:rPr>
          <w:rFonts w:hint="eastAsia" w:ascii="仿宋" w:hAnsi="仿宋" w:eastAsia="仿宋" w:cs="仿宋"/>
          <w:sz w:val="32"/>
          <w:szCs w:val="32"/>
          <w:lang w:val="en-US" w:eastAsia="zh-CN"/>
        </w:rPr>
        <w:t>和表4</w:t>
      </w:r>
      <w:r>
        <w:rPr>
          <w:rFonts w:hint="eastAsia" w:ascii="仿宋" w:hAnsi="仿宋" w:eastAsia="仿宋" w:cs="仿宋"/>
          <w:sz w:val="32"/>
          <w:szCs w:val="32"/>
        </w:rPr>
        <w:t>中各土地用途基准地价标准平均容积率设定为</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w:t>
      </w:r>
      <w:r>
        <w:rPr>
          <w:rFonts w:hint="eastAsia" w:ascii="仿宋" w:hAnsi="仿宋" w:eastAsia="仿宋" w:cs="仿宋"/>
          <w:sz w:val="32"/>
          <w:szCs w:val="32"/>
        </w:rPr>
        <w:t>表3中各土地用途基准地价标准容积率设定为1.0。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4.估价期日：2024年</w:t>
      </w:r>
      <w:r>
        <w:rPr>
          <w:rFonts w:hint="eastAsia" w:ascii="仿宋" w:hAnsi="仿宋" w:eastAsia="仿宋" w:cs="仿宋"/>
          <w:sz w:val="32"/>
          <w:szCs w:val="32"/>
          <w:lang w:val="en-US" w:eastAsia="zh-CN"/>
        </w:rPr>
        <w:t>7</w:t>
      </w:r>
      <w:r>
        <w:rPr>
          <w:rFonts w:hint="eastAsia" w:ascii="仿宋" w:hAnsi="仿宋" w:eastAsia="仿宋" w:cs="仿宋"/>
          <w:sz w:val="32"/>
          <w:szCs w:val="32"/>
        </w:rPr>
        <w:t>月1日。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5.土地使用年期：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商业服务业用地土地使用年限为法定最高年限40年，居住用地土地使用年限为法定最高年限70年，公共管理与公共服务用地、工矿用地、仓储用地、公用设施用地、绿地与开敞空间用地土地使用年限为法定最高年限50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（二）出让金内涵及设定条件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出让金为通过招标、拍卖、挂牌方式有偿供地的出让净收益标准，不包括土地取得费用、土地开发费用、新征地的新增建设用地有偿使用费和出让收入中提取的各项资金和基金。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1.价格表现形式：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出让金为地面价格。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2.开发程度、估价期日、土地使用年期设定同基准地价，平均容积率不做具体设定。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其他说明事项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（一）土地还原率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表1中各土地用途还原率为5.</w:t>
      </w:r>
      <w:r>
        <w:rPr>
          <w:rFonts w:hint="eastAsia" w:ascii="仿宋" w:hAnsi="仿宋" w:eastAsia="仿宋" w:cs="仿宋"/>
          <w:sz w:val="32"/>
          <w:szCs w:val="32"/>
          <w:lang w:val="en-US" w:eastAsia="zh-CN"/>
        </w:rPr>
        <w:t>08</w:t>
      </w:r>
      <w:r>
        <w:rPr>
          <w:rFonts w:hint="eastAsia" w:ascii="仿宋" w:hAnsi="仿宋" w:eastAsia="仿宋" w:cs="仿宋"/>
          <w:sz w:val="32"/>
          <w:szCs w:val="32"/>
        </w:rPr>
        <w:t>%；表2中各土地用途还原率为</w:t>
      </w:r>
      <w:r>
        <w:rPr>
          <w:rFonts w:hint="eastAsia" w:ascii="仿宋" w:hAnsi="仿宋" w:eastAsia="仿宋" w:cs="仿宋"/>
          <w:sz w:val="32"/>
          <w:szCs w:val="32"/>
          <w:lang w:val="en-US" w:eastAsia="zh-CN"/>
        </w:rPr>
        <w:t>4.78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表3中各土地用途还原率为</w:t>
      </w:r>
      <w:r>
        <w:rPr>
          <w:rFonts w:hint="eastAsia" w:ascii="仿宋" w:hAnsi="仿宋" w:eastAsia="仿宋" w:cs="仿宋"/>
          <w:sz w:val="32"/>
          <w:szCs w:val="32"/>
          <w:lang w:val="en-US" w:eastAsia="zh-CN"/>
        </w:rPr>
        <w:t>3.97</w:t>
      </w:r>
      <w:r>
        <w:rPr>
          <w:rFonts w:hint="eastAsia" w:ascii="仿宋" w:hAnsi="仿宋" w:eastAsia="仿宋" w:cs="仿宋"/>
          <w:sz w:val="32"/>
          <w:szCs w:val="32"/>
        </w:rPr>
        <w:t>%；表</w:t>
      </w:r>
      <w:r>
        <w:rPr>
          <w:rFonts w:hint="eastAsia" w:ascii="仿宋" w:hAnsi="仿宋" w:eastAsia="仿宋" w:cs="仿宋"/>
          <w:sz w:val="32"/>
          <w:szCs w:val="32"/>
          <w:lang w:val="en-US" w:eastAsia="zh-CN"/>
        </w:rPr>
        <w:t>4</w:t>
      </w:r>
      <w:r>
        <w:rPr>
          <w:rFonts w:hint="eastAsia" w:ascii="仿宋" w:hAnsi="仿宋" w:eastAsia="仿宋" w:cs="仿宋"/>
          <w:sz w:val="32"/>
          <w:szCs w:val="32"/>
        </w:rPr>
        <w:t>中各土地用途还原率为4.</w:t>
      </w:r>
      <w:r>
        <w:rPr>
          <w:rFonts w:hint="eastAsia" w:ascii="仿宋" w:hAnsi="仿宋" w:eastAsia="仿宋" w:cs="仿宋"/>
          <w:sz w:val="32"/>
          <w:szCs w:val="32"/>
          <w:lang w:val="en-US" w:eastAsia="zh-CN"/>
        </w:rPr>
        <w:t>49</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（二）容积率修正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0"/>
          <w:szCs w:val="30"/>
        </w:rPr>
      </w:pPr>
      <w:r>
        <w:rPr>
          <w:rFonts w:hint="eastAsia" w:ascii="仿宋" w:hAnsi="仿宋" w:eastAsia="仿宋" w:cs="仿宋"/>
          <w:sz w:val="32"/>
          <w:szCs w:val="32"/>
        </w:rPr>
        <w:t>本次公布的基准地价为平均容积率对应的价格标准，其他容积率基准地价标准等于平均容积率价格标准乘以容积率修正系数。其中表1中各土地用途容积率修正系数按照商业服务业用途容积率修正系数确定；表2</w:t>
      </w:r>
      <w:r>
        <w:rPr>
          <w:rFonts w:hint="eastAsia" w:ascii="仿宋" w:hAnsi="仿宋" w:eastAsia="仿宋" w:cs="仿宋"/>
          <w:sz w:val="32"/>
          <w:szCs w:val="32"/>
          <w:lang w:val="en-US" w:eastAsia="zh-CN"/>
        </w:rPr>
        <w:t>和表4</w:t>
      </w:r>
      <w:r>
        <w:rPr>
          <w:rFonts w:hint="eastAsia" w:ascii="仿宋" w:hAnsi="仿宋" w:eastAsia="仿宋" w:cs="仿宋"/>
          <w:sz w:val="32"/>
          <w:szCs w:val="32"/>
        </w:rPr>
        <w:t>中各土地用途容积率修正系数按照居住用途容积率修正系数确定；表3不做容积率修正。</w:t>
      </w:r>
    </w:p>
    <w:p>
      <w:pPr>
        <w:rPr>
          <w:rFonts w:hint="eastAsia" w:ascii="仿宋" w:hAnsi="仿宋" w:eastAsia="仿宋" w:cs="仿宋"/>
          <w:sz w:val="30"/>
          <w:szCs w:val="30"/>
        </w:rPr>
      </w:pPr>
      <w:r>
        <w:rPr>
          <w:rFonts w:hint="eastAsia" w:ascii="仿宋" w:hAnsi="仿宋" w:eastAsia="仿宋" w:cs="仿宋"/>
          <w:sz w:val="30"/>
          <w:szCs w:val="30"/>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仿宋"/>
          <w:b/>
          <w:sz w:val="32"/>
          <w:szCs w:val="32"/>
          <w:highlight w:val="none"/>
          <w:lang w:val="en-US" w:eastAsia="zh-CN"/>
        </w:rPr>
      </w:pPr>
      <w:r>
        <w:rPr>
          <w:rFonts w:hint="eastAsia" w:ascii="仿宋" w:hAnsi="仿宋" w:eastAsia="仿宋" w:cs="仿宋"/>
          <w:color w:val="222222"/>
          <w:spacing w:val="-12"/>
          <w:sz w:val="30"/>
          <w:szCs w:val="30"/>
        </w:rPr>
        <w:t>附件</w:t>
      </w:r>
      <w:r>
        <w:rPr>
          <w:rFonts w:hint="eastAsia" w:ascii="仿宋" w:hAnsi="仿宋" w:eastAsia="仿宋" w:cs="仿宋"/>
          <w:color w:val="222222"/>
          <w:spacing w:val="-12"/>
          <w:sz w:val="30"/>
          <w:szCs w:val="30"/>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30"/>
          <w:szCs w:val="30"/>
        </w:rPr>
      </w:pPr>
      <w:r>
        <w:rPr>
          <w:rFonts w:hint="eastAsia" w:ascii="宋体" w:hAnsi="宋体"/>
          <w:b/>
          <w:sz w:val="32"/>
          <w:szCs w:val="32"/>
          <w:highlight w:val="none"/>
          <w:lang w:val="en-US" w:eastAsia="zh-CN"/>
        </w:rPr>
        <w:t>商服</w:t>
      </w:r>
      <w:r>
        <w:rPr>
          <w:rFonts w:hint="eastAsia" w:ascii="宋体" w:hAnsi="宋体"/>
          <w:b/>
          <w:sz w:val="32"/>
          <w:szCs w:val="32"/>
          <w:highlight w:val="none"/>
        </w:rPr>
        <w:t>用地容积率修正系数</w:t>
      </w:r>
    </w:p>
    <w:tbl>
      <w:tblPr>
        <w:tblStyle w:val="3"/>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14"/>
        <w:gridCol w:w="714"/>
        <w:gridCol w:w="714"/>
        <w:gridCol w:w="714"/>
        <w:gridCol w:w="714"/>
        <w:gridCol w:w="714"/>
        <w:gridCol w:w="714"/>
        <w:gridCol w:w="714"/>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1.1</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1.2</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1.3</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1.4</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1.5</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1.6</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1.7</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1.8</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1.9</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0.8311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0.8754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0.9182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0.9597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1.0393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1.0775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1.1149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1.1515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2.1</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2.2</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2.3</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2.4</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2.5</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2.6</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2.7</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2.8</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2.9</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1.2223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1.2567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1.2905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1.3237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1.3563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1.3884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1.4200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1.4512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1.4819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3.1</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3.2</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3.3</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3.4</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3.5</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3.6</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3.7</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3.8</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3.9</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1.5420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1.5715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1.6006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1.6294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1.6578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1.6859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1.7137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1.7412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1.7684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4.1</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4.2</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4.3</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4.4</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4.5</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4.6</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4.7</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4.8</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4.9</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1.8219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1.8483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1.8744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1.9003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1.9260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1.9514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1.9766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2.0016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2.0264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2.0509 </w:t>
            </w:r>
          </w:p>
        </w:tc>
      </w:tr>
    </w:tbl>
    <w:p>
      <w:pPr>
        <w:rPr>
          <w:rFonts w:hint="eastAsia" w:ascii="仿宋" w:hAnsi="仿宋" w:eastAsia="仿宋" w:cs="仿宋"/>
          <w:sz w:val="30"/>
          <w:szCs w:val="30"/>
        </w:rPr>
      </w:pPr>
      <w:r>
        <w:rPr>
          <w:rFonts w:hint="eastAsia" w:ascii="仿宋" w:hAnsi="仿宋" w:eastAsia="仿宋" w:cs="仿宋"/>
          <w:sz w:val="30"/>
          <w:szCs w:val="30"/>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b/>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b/>
          <w:sz w:val="32"/>
          <w:szCs w:val="32"/>
          <w:highlight w:val="none"/>
        </w:rPr>
      </w:pPr>
      <w:r>
        <w:rPr>
          <w:rFonts w:hint="eastAsia" w:ascii="宋体" w:hAnsi="宋体" w:eastAsia="宋体"/>
          <w:b/>
          <w:sz w:val="32"/>
          <w:szCs w:val="32"/>
          <w:highlight w:val="none"/>
          <w:lang w:val="en-US" w:eastAsia="zh-CN"/>
        </w:rPr>
        <w:t>居住</w:t>
      </w:r>
      <w:r>
        <w:rPr>
          <w:rFonts w:hint="eastAsia" w:ascii="宋体" w:hAnsi="宋体"/>
          <w:b/>
          <w:sz w:val="32"/>
          <w:szCs w:val="32"/>
          <w:highlight w:val="none"/>
        </w:rPr>
        <w:t>用地容积率修正系数</w:t>
      </w:r>
    </w:p>
    <w:tbl>
      <w:tblPr>
        <w:tblStyle w:val="3"/>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14"/>
        <w:gridCol w:w="714"/>
        <w:gridCol w:w="714"/>
        <w:gridCol w:w="714"/>
        <w:gridCol w:w="714"/>
        <w:gridCol w:w="714"/>
        <w:gridCol w:w="714"/>
        <w:gridCol w:w="714"/>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1.1</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1.2</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1.3</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1.4</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1.5</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1.6</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1.7</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1.8</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1.9</w:t>
            </w:r>
          </w:p>
        </w:tc>
        <w:tc>
          <w:tcPr>
            <w:tcW w:w="713" w:type="dxa"/>
            <w:tcBorders>
              <w:tl2br w:val="nil"/>
              <w:tr2bl w:val="nil"/>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0.8595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0.8968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0.9325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0.9669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1.0320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1.0630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1.0931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1.1224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1.1508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2.1</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2.2</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2.3</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2.4</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2.5</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2.6</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2.7</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2.8</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2.9</w:t>
            </w:r>
          </w:p>
        </w:tc>
        <w:tc>
          <w:tcPr>
            <w:tcW w:w="713" w:type="dxa"/>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1.1786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1.2056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1.2321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1.2580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1.2833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1.3081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1.3324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1.3563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1.3798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3.1</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3.2</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3.3</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3.4</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3.5</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3.6</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3.7</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3.8</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3.9</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1.4254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1.4477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1.4696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1.4912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1.5125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1.5334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1.5541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1.5744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1.5945 </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容积率</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4.1</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4.2</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4.3</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4.4</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4.5</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4.6</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4.7</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4.8</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4.9</w:t>
            </w:r>
          </w:p>
        </w:tc>
        <w:tc>
          <w:tcPr>
            <w:tcW w:w="713" w:type="dxa"/>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7"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修正系数</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1.6339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1.6533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1.6724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1.6913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1.7099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1.7284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1.7466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1.7647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1.7825 </w:t>
            </w:r>
          </w:p>
        </w:tc>
        <w:tc>
          <w:tcPr>
            <w:tcW w:w="713" w:type="dxa"/>
            <w:tcBorders>
              <w:tl2br w:val="nil"/>
              <w:tr2bl w:val="nil"/>
            </w:tcBorders>
            <w:shd w:val="clear" w:color="auto" w:fill="FFFFFF"/>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 xml:space="preserve">1.8002 </w:t>
            </w:r>
          </w:p>
        </w:tc>
      </w:tr>
    </w:tbl>
    <w:p>
      <w:pPr>
        <w:rPr>
          <w:rFonts w:hint="eastAsia"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仿宋" w:cs="宋体"/>
          <w:b/>
          <w:sz w:val="28"/>
          <w:szCs w:val="28"/>
          <w:highlight w:val="none"/>
          <w:lang w:val="en-US" w:eastAsia="zh-CN"/>
        </w:rPr>
      </w:pPr>
      <w:r>
        <w:rPr>
          <w:rFonts w:hint="eastAsia" w:ascii="仿宋" w:hAnsi="仿宋" w:eastAsia="仿宋" w:cs="仿宋"/>
          <w:color w:val="222222"/>
          <w:spacing w:val="-12"/>
          <w:sz w:val="30"/>
          <w:szCs w:val="30"/>
        </w:rPr>
        <w:t>附件</w:t>
      </w:r>
      <w:r>
        <w:rPr>
          <w:rFonts w:hint="eastAsia" w:ascii="仿宋" w:hAnsi="仿宋" w:eastAsia="仿宋" w:cs="仿宋"/>
          <w:color w:val="222222"/>
          <w:spacing w:val="-12"/>
          <w:sz w:val="30"/>
          <w:szCs w:val="30"/>
          <w:lang w:val="en-US" w:eastAsia="zh-CN"/>
        </w:rPr>
        <w:t>4</w:t>
      </w:r>
    </w:p>
    <w:p>
      <w:pPr>
        <w:jc w:val="center"/>
        <w:rPr>
          <w:rFonts w:hint="eastAsia" w:ascii="宋体" w:hAnsi="宋体" w:cs="宋体"/>
          <w:b/>
          <w:sz w:val="28"/>
          <w:szCs w:val="28"/>
          <w:highlight w:val="none"/>
        </w:rPr>
      </w:pPr>
      <w:r>
        <w:rPr>
          <w:rFonts w:hint="eastAsia" w:ascii="宋体" w:hAnsi="宋体" w:cs="宋体"/>
          <w:b/>
          <w:sz w:val="28"/>
          <w:szCs w:val="28"/>
          <w:highlight w:val="none"/>
          <w:lang w:val="en-US" w:eastAsia="zh-CN"/>
        </w:rPr>
        <w:t>法库县商业服务业</w:t>
      </w:r>
      <w:r>
        <w:rPr>
          <w:rFonts w:hint="eastAsia" w:ascii="宋体" w:hAnsi="宋体" w:cs="宋体"/>
          <w:b/>
          <w:sz w:val="28"/>
          <w:szCs w:val="28"/>
          <w:highlight w:val="none"/>
        </w:rPr>
        <w:t>用地级别范围说明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tblHeader/>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一级</w:t>
            </w:r>
          </w:p>
        </w:tc>
        <w:tc>
          <w:tcPr>
            <w:tcW w:w="13336" w:type="dxa"/>
            <w:shd w:val="clear" w:color="auto" w:fill="auto"/>
            <w:vAlign w:val="center"/>
          </w:tcPr>
          <w:p>
            <w:pPr>
              <w:keepNext w:val="0"/>
              <w:keepLines w:val="0"/>
              <w:pageBreakBefore w:val="0"/>
              <w:suppressLineNumbers w:val="0"/>
              <w:tabs>
                <w:tab w:val="left" w:pos="2715"/>
              </w:tabs>
              <w:kinsoku/>
              <w:wordWrap/>
              <w:overflowPunct/>
              <w:topLinePunct w:val="0"/>
              <w:bidi w:val="0"/>
              <w:spacing w:before="0" w:beforeAutospacing="0" w:after="0" w:afterAutospacing="0" w:line="36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起边门街与龙山路交汇处</w:t>
            </w:r>
            <w:r>
              <w:rPr>
                <w:rFonts w:hint="eastAsia" w:ascii="宋体" w:hAnsi="宋体" w:eastAsia="宋体" w:cs="宋体"/>
                <w:color w:val="auto"/>
                <w:sz w:val="21"/>
                <w:szCs w:val="21"/>
              </w:rPr>
              <w:t>-龙山路-</w:t>
            </w:r>
            <w:r>
              <w:rPr>
                <w:rFonts w:hint="eastAsia" w:ascii="宋体" w:hAnsi="宋体" w:eastAsia="宋体" w:cs="宋体"/>
                <w:color w:val="auto"/>
                <w:sz w:val="21"/>
                <w:szCs w:val="21"/>
                <w:lang w:val="en-US" w:eastAsia="zh-CN"/>
              </w:rPr>
              <w:t>幸福街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兴法路-边门街-边门街与龙山路交汇处止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二级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起边门街西侧规划路与龙山西路交汇处</w:t>
            </w:r>
            <w:r>
              <w:rPr>
                <w:rFonts w:hint="eastAsia" w:ascii="宋体" w:hAnsi="宋体" w:eastAsia="宋体" w:cs="宋体"/>
                <w:color w:val="auto"/>
                <w:sz w:val="21"/>
                <w:szCs w:val="21"/>
              </w:rPr>
              <w:t>-龙山</w:t>
            </w:r>
            <w:r>
              <w:rPr>
                <w:rFonts w:hint="eastAsia" w:ascii="宋体" w:hAnsi="宋体" w:eastAsia="宋体" w:cs="宋体"/>
                <w:color w:val="auto"/>
                <w:sz w:val="21"/>
                <w:szCs w:val="21"/>
                <w:lang w:val="en-US" w:eastAsia="zh-CN"/>
              </w:rPr>
              <w:t>西</w:t>
            </w:r>
            <w:r>
              <w:rPr>
                <w:rFonts w:hint="eastAsia" w:ascii="宋体" w:hAnsi="宋体" w:eastAsia="宋体" w:cs="宋体"/>
                <w:color w:val="auto"/>
                <w:sz w:val="21"/>
                <w:szCs w:val="21"/>
              </w:rPr>
              <w:t>路-</w:t>
            </w:r>
            <w:r>
              <w:rPr>
                <w:rFonts w:hint="eastAsia" w:ascii="宋体" w:hAnsi="宋体" w:eastAsia="宋体" w:cs="宋体"/>
                <w:color w:val="auto"/>
                <w:sz w:val="21"/>
                <w:szCs w:val="21"/>
                <w:lang w:val="en-US" w:eastAsia="zh-CN"/>
              </w:rPr>
              <w:t>边门街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边外路-东外环路-南外环路-起边门街西侧规划路-边门街西侧规划路与龙山西路交汇处止（不含一级地区）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起G505与科勒大街交汇处-科勒大街-苏泊尔大道-村路-G203-周地沟村-东沟村-东门村-羊草沟村-王家村-桃山村-东新城堡村-北门村-大泉眼村-四台子村-G505-G505与科勒大街交汇处止（不含一级和二级地区，上述界线描述中用村名表示级别范围界线的包括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吉祥街道：马家店村（除三级区域）、榆树底村、红土砬子村、小房申村、黄花岭村、马家店林场、种畜场；</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龙山街道：下洼子村、黄花岭村、三泉村、团山子村、后魏家楼村（以上五村除三级区域）、西新城堡村、哥哥府村、任家窝堡村、孤家子村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五台子村、古井子村、秋皮沟村、前魏家楼村；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孟家镇：四家子村、徐三家子村、孟家村、赵家村、西大房申村；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十间房镇：十间房村、小荒地村、赵贝堡村、尚屯村、李贝堡村、山咀子村、后孤家子村、尚屯水库东岸及北岸；</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大孤家子镇：大孤家子村、小岭村、拉玛桥村、大岭村、路家房申村、大孤家子农场；</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依牛堡子镇：椴树沟村、大粮洞村、西拉马河子村、东拉马河子村、崔家屯村、黎巴彦村、西獐草沟村、依牛堡子村、四家子村、贺尔海村、花牛堡子村；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秀水河子镇：秀水河子村、前秀水河子村（不含一级、二级和三级地区）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一至四级以外地区</w:t>
            </w:r>
          </w:p>
        </w:tc>
      </w:tr>
    </w:tbl>
    <w:p>
      <w:pPr>
        <w:rPr>
          <w:rFonts w:hint="eastAsia" w:ascii="宋体" w:hAnsi="宋体" w:cs="宋体"/>
          <w:b/>
          <w:sz w:val="28"/>
          <w:szCs w:val="28"/>
          <w:highlight w:val="none"/>
        </w:rPr>
      </w:pPr>
      <w:r>
        <w:rPr>
          <w:rFonts w:hint="eastAsia" w:ascii="宋体" w:hAnsi="宋体" w:cs="宋体"/>
          <w:b/>
          <w:sz w:val="28"/>
          <w:szCs w:val="28"/>
          <w:highlight w:val="none"/>
        </w:rPr>
        <w:br w:type="page"/>
      </w:r>
    </w:p>
    <w:p>
      <w:pPr>
        <w:jc w:val="center"/>
        <w:rPr>
          <w:rFonts w:hint="eastAsia" w:ascii="宋体" w:hAnsi="宋体" w:cs="宋体"/>
          <w:b/>
          <w:sz w:val="28"/>
          <w:szCs w:val="28"/>
          <w:highlight w:val="none"/>
        </w:rPr>
      </w:pPr>
      <w:r>
        <w:rPr>
          <w:rFonts w:hint="eastAsia" w:ascii="宋体" w:hAnsi="宋体" w:cs="宋体"/>
          <w:b/>
          <w:sz w:val="28"/>
          <w:szCs w:val="28"/>
          <w:highlight w:val="none"/>
          <w:lang w:val="en-US" w:eastAsia="zh-CN"/>
        </w:rPr>
        <w:t>法库县居住</w:t>
      </w:r>
      <w:r>
        <w:rPr>
          <w:rFonts w:hint="eastAsia" w:ascii="宋体" w:hAnsi="宋体" w:cs="宋体"/>
          <w:b/>
          <w:sz w:val="28"/>
          <w:szCs w:val="28"/>
          <w:highlight w:val="none"/>
        </w:rPr>
        <w:t>用地级别范围说明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tblHeader/>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一级</w:t>
            </w:r>
          </w:p>
        </w:tc>
        <w:tc>
          <w:tcPr>
            <w:tcW w:w="13336" w:type="dxa"/>
            <w:shd w:val="clear" w:color="auto" w:fill="auto"/>
            <w:vAlign w:val="center"/>
          </w:tcPr>
          <w:p>
            <w:pPr>
              <w:keepNext w:val="0"/>
              <w:keepLines w:val="0"/>
              <w:pageBreakBefore w:val="0"/>
              <w:suppressLineNumbers w:val="0"/>
              <w:tabs>
                <w:tab w:val="left" w:pos="2715"/>
              </w:tabs>
              <w:kinsoku/>
              <w:wordWrap/>
              <w:overflowPunct/>
              <w:topLinePunct w:val="0"/>
              <w:bidi w:val="0"/>
              <w:spacing w:before="0" w:beforeAutospacing="0" w:after="0" w:afterAutospacing="0" w:line="240" w:lineRule="auto"/>
              <w:ind w:left="0" w:leftChars="0" w:right="0" w:rightChars="0" w:firstLine="0" w:firstLineChars="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起边门街与龙山路交汇处</w:t>
            </w:r>
            <w:r>
              <w:rPr>
                <w:rFonts w:hint="default" w:ascii="宋体" w:hAnsi="宋体" w:eastAsia="宋体" w:cs="宋体"/>
                <w:color w:val="auto"/>
                <w:sz w:val="21"/>
                <w:szCs w:val="21"/>
              </w:rPr>
              <w:t>-龙山路-</w:t>
            </w:r>
            <w:r>
              <w:rPr>
                <w:rFonts w:hint="eastAsia" w:ascii="宋体" w:hAnsi="宋体" w:cs="宋体"/>
                <w:color w:val="auto"/>
                <w:sz w:val="21"/>
                <w:szCs w:val="21"/>
                <w:lang w:val="en-US" w:eastAsia="zh-CN"/>
              </w:rPr>
              <w:t>幸福街</w:t>
            </w:r>
            <w:r>
              <w:rPr>
                <w:rFonts w:hint="default" w:ascii="宋体" w:hAnsi="宋体" w:eastAsia="宋体" w:cs="宋体"/>
                <w:color w:val="auto"/>
                <w:sz w:val="21"/>
                <w:szCs w:val="21"/>
              </w:rPr>
              <w:t>-</w:t>
            </w:r>
            <w:r>
              <w:rPr>
                <w:rFonts w:hint="eastAsia" w:ascii="宋体" w:hAnsi="宋体" w:cs="宋体"/>
                <w:color w:val="auto"/>
                <w:sz w:val="21"/>
                <w:szCs w:val="21"/>
                <w:lang w:val="en-US" w:eastAsia="zh-CN"/>
              </w:rPr>
              <w:t>天阔路-团结街-尚品路-边门街-边门街与龙山路交汇处止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二级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起边门街西侧规划路与龙山西路交汇处</w:t>
            </w:r>
            <w:r>
              <w:rPr>
                <w:rFonts w:hint="default" w:ascii="宋体" w:hAnsi="宋体" w:eastAsia="宋体" w:cs="宋体"/>
                <w:color w:val="auto"/>
                <w:sz w:val="21"/>
                <w:szCs w:val="21"/>
              </w:rPr>
              <w:t>-龙山</w:t>
            </w:r>
            <w:r>
              <w:rPr>
                <w:rFonts w:hint="eastAsia" w:ascii="宋体" w:hAnsi="宋体" w:cs="宋体"/>
                <w:color w:val="auto"/>
                <w:sz w:val="21"/>
                <w:szCs w:val="21"/>
                <w:lang w:val="en-US" w:eastAsia="zh-CN"/>
              </w:rPr>
              <w:t>西</w:t>
            </w:r>
            <w:r>
              <w:rPr>
                <w:rFonts w:hint="default" w:ascii="宋体" w:hAnsi="宋体" w:eastAsia="宋体" w:cs="宋体"/>
                <w:color w:val="auto"/>
                <w:sz w:val="21"/>
                <w:szCs w:val="21"/>
              </w:rPr>
              <w:t>路-</w:t>
            </w:r>
            <w:r>
              <w:rPr>
                <w:rFonts w:hint="eastAsia" w:ascii="宋体" w:hAnsi="宋体" w:cs="宋体"/>
                <w:color w:val="auto"/>
                <w:sz w:val="21"/>
                <w:szCs w:val="21"/>
                <w:lang w:val="en-US" w:eastAsia="zh-CN"/>
              </w:rPr>
              <w:t>边门街</w:t>
            </w:r>
            <w:r>
              <w:rPr>
                <w:rFonts w:hint="default" w:ascii="宋体" w:hAnsi="宋体" w:eastAsia="宋体" w:cs="宋体"/>
                <w:color w:val="auto"/>
                <w:sz w:val="21"/>
                <w:szCs w:val="21"/>
              </w:rPr>
              <w:t>-</w:t>
            </w:r>
            <w:r>
              <w:rPr>
                <w:rFonts w:hint="eastAsia" w:ascii="宋体" w:hAnsi="宋体" w:cs="宋体"/>
                <w:color w:val="auto"/>
                <w:sz w:val="21"/>
                <w:szCs w:val="21"/>
                <w:lang w:val="en-US" w:eastAsia="zh-CN"/>
              </w:rPr>
              <w:t>边外路-东外环路-南外环路-起边门街西侧规划路-边门街西侧规划路与龙山西路交汇处止（不含一级地区）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起G505与科勒大街交汇处-科勒大街-苏泊尔大道-村路-G203-周地沟村-东沟村-东门村-羊草沟村-王家村-桃山村-东新城堡村-北门村-大泉眼村-四台子村-G505-G505与科勒大街交汇处止（不含一级二级地区，上述界线描述中用村名表示级别范围界线的包括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吉祥街道：马家店村（除三级区域）、榆树底村、红土砬子村、小房申村、黄花岭村、马家店林场、种畜场；</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龙山街道：下洼子村、黄花岭村、三泉村、团山子村、后魏家楼村（以上五村除三级区域）、西新城堡村、哥哥府村、任家窝堡村、孤家子村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五台子村、古井子村、秋皮沟村、前魏家楼村；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孟家镇：四家子村、徐三家子村、孟家村、赵家村、西大房申村；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十间房镇：十间房村、小荒地村、赵贝堡村、尚屯村、李贝堡村、山咀子村、后孤家子村、尚屯水库东岸及北岸；</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大孤家子镇：大孤家子村、小岭村、拉玛桥村、大岭村、路家房申村、大孤家子农场；</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依牛堡子镇：椴树沟村、大粮洞村、西拉马河子村、东拉马河子村、崔家屯村、黎巴彦村、西獐草沟村、依牛堡子村、四家子村、贺尔海村、花牛堡子村；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秀水河子镇：秀水河子村、前秀水河子村（不含一级、二级和三级地区）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一至四级以外地区</w:t>
            </w:r>
          </w:p>
        </w:tc>
      </w:tr>
    </w:tbl>
    <w:p>
      <w:pPr>
        <w:rPr>
          <w:rFonts w:hint="eastAsia" w:ascii="宋体" w:hAnsi="宋体" w:cs="宋体"/>
          <w:b/>
          <w:sz w:val="28"/>
          <w:szCs w:val="28"/>
          <w:highlight w:val="none"/>
        </w:rPr>
      </w:pPr>
      <w:r>
        <w:rPr>
          <w:rFonts w:hint="eastAsia" w:ascii="宋体" w:hAnsi="宋体" w:cs="宋体"/>
          <w:b/>
          <w:sz w:val="28"/>
          <w:szCs w:val="28"/>
          <w:highlight w:val="none"/>
        </w:rPr>
        <w:br w:type="page"/>
      </w:r>
    </w:p>
    <w:p>
      <w:pPr>
        <w:jc w:val="center"/>
        <w:rPr>
          <w:rFonts w:hint="eastAsia" w:ascii="宋体" w:hAnsi="宋体" w:cs="宋体"/>
          <w:b/>
          <w:sz w:val="28"/>
          <w:szCs w:val="28"/>
          <w:highlight w:val="none"/>
        </w:rPr>
      </w:pPr>
      <w:r>
        <w:rPr>
          <w:rFonts w:hint="eastAsia" w:ascii="宋体" w:hAnsi="宋体" w:cs="宋体"/>
          <w:b/>
          <w:sz w:val="28"/>
          <w:szCs w:val="28"/>
          <w:highlight w:val="none"/>
          <w:lang w:val="en-US" w:eastAsia="zh-CN"/>
        </w:rPr>
        <w:t>法库县工业</w:t>
      </w:r>
      <w:r>
        <w:rPr>
          <w:rFonts w:hint="eastAsia" w:ascii="宋体" w:hAnsi="宋体" w:cs="宋体"/>
          <w:b/>
          <w:sz w:val="28"/>
          <w:szCs w:val="28"/>
          <w:highlight w:val="none"/>
        </w:rPr>
        <w:t>用地级别范围说明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tblHeader/>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起边门街西侧规划路与龙山西路交汇处</w:t>
            </w:r>
            <w:r>
              <w:rPr>
                <w:rFonts w:hint="default" w:ascii="宋体" w:hAnsi="宋体" w:eastAsia="宋体" w:cs="宋体"/>
                <w:color w:val="auto"/>
                <w:sz w:val="21"/>
                <w:szCs w:val="21"/>
              </w:rPr>
              <w:t>-龙山</w:t>
            </w:r>
            <w:r>
              <w:rPr>
                <w:rFonts w:hint="eastAsia" w:ascii="宋体" w:hAnsi="宋体" w:cs="宋体"/>
                <w:color w:val="auto"/>
                <w:sz w:val="21"/>
                <w:szCs w:val="21"/>
                <w:lang w:val="en-US" w:eastAsia="zh-CN"/>
              </w:rPr>
              <w:t>西</w:t>
            </w:r>
            <w:r>
              <w:rPr>
                <w:rFonts w:hint="default" w:ascii="宋体" w:hAnsi="宋体" w:eastAsia="宋体" w:cs="宋体"/>
                <w:color w:val="auto"/>
                <w:sz w:val="21"/>
                <w:szCs w:val="21"/>
              </w:rPr>
              <w:t>路-</w:t>
            </w:r>
            <w:r>
              <w:rPr>
                <w:rFonts w:hint="eastAsia" w:ascii="宋体" w:hAnsi="宋体" w:cs="宋体"/>
                <w:color w:val="auto"/>
                <w:sz w:val="21"/>
                <w:szCs w:val="21"/>
                <w:lang w:val="en-US" w:eastAsia="zh-CN"/>
              </w:rPr>
              <w:t>边门街</w:t>
            </w:r>
            <w:r>
              <w:rPr>
                <w:rFonts w:hint="default" w:ascii="宋体" w:hAnsi="宋体" w:eastAsia="宋体" w:cs="宋体"/>
                <w:color w:val="auto"/>
                <w:sz w:val="21"/>
                <w:szCs w:val="21"/>
              </w:rPr>
              <w:t>-</w:t>
            </w:r>
            <w:r>
              <w:rPr>
                <w:rFonts w:hint="eastAsia" w:ascii="宋体" w:hAnsi="宋体" w:cs="宋体"/>
                <w:color w:val="auto"/>
                <w:sz w:val="21"/>
                <w:szCs w:val="21"/>
                <w:lang w:val="en-US" w:eastAsia="zh-CN"/>
              </w:rPr>
              <w:t>北外环路-东外环路-南外环路-起边门街西侧规划路-边门街西侧规划路与龙山西路交汇处止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二级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起G505与科勒大街交汇处-科勒大街-苏泊尔大道-村路-G203-周地沟村-东沟村-东门村-羊草沟村-王家村-桃山村-东新城堡村-北门村-大泉眼村-四台子村-G505-G505与科勒大街交汇处止（不含一级地区，上述界线描述中用村名表示级别范围界线的包括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吉祥街道：马家店村（除三级区域）、榆树底村、红土砬子村、小房申村、黄花岭村、蛇山沟村、郝家沟村、马家店林场、种畜场；</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龙山街道：下洼子村、黄花岭村、三泉村、团山子村、后魏家楼村（以上五村除三级区域）、西新城堡村、哥哥府村、任家窝堡村、孤家子村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五台子村、古井子村、秋皮沟村、前魏家楼村；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孟家镇：四家子村、徐三家子村、孟家村、赵家村、西大房申村、孤树子村、东岗子村；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lang w:val="en-US" w:eastAsia="zh-CN"/>
              </w:rPr>
              <w:t>十间房镇：十间房村、小荒地村、赵贝堡村、尚屯村、李贝堡村、山</w:t>
            </w:r>
            <w:r>
              <w:rPr>
                <w:rFonts w:hint="eastAsia" w:ascii="宋体" w:hAnsi="宋体" w:cs="宋体"/>
                <w:color w:val="auto"/>
                <w:sz w:val="21"/>
                <w:szCs w:val="21"/>
                <w:highlight w:val="none"/>
                <w:lang w:val="en-US" w:eastAsia="zh-CN"/>
              </w:rPr>
              <w:t>咀子村、后孤家子村、尚屯水库东岸及北岸；</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大孤家子镇：大孤家子村、小岭村、拉玛桥村、大岭村、路家房申村、大孤家子农场；</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依牛堡子镇：椴树沟村、大粮洞村、西拉马河子村、东拉马河子村、崔家屯村、黎巴彦村、西獐草沟村</w:t>
            </w:r>
            <w:r>
              <w:rPr>
                <w:rFonts w:hint="eastAsia" w:ascii="宋体" w:hAnsi="宋体" w:cs="宋体"/>
                <w:color w:val="auto"/>
                <w:sz w:val="21"/>
                <w:szCs w:val="21"/>
                <w:lang w:val="en-US" w:eastAsia="zh-CN"/>
              </w:rPr>
              <w:t>、依牛堡子村、四家子村、贺尔海村、花牛堡子村、祝家堡子村；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秀水河子镇：秀水河子村、前秀水河子村（不含一级和二级地区）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一至</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级以外地区</w:t>
            </w:r>
          </w:p>
        </w:tc>
      </w:tr>
    </w:tbl>
    <w:p>
      <w:pPr>
        <w:rPr>
          <w:rFonts w:hint="eastAsia" w:ascii="宋体" w:hAnsi="宋体" w:cs="宋体"/>
          <w:b/>
          <w:sz w:val="28"/>
          <w:szCs w:val="28"/>
          <w:highlight w:val="none"/>
        </w:rPr>
      </w:pPr>
      <w:r>
        <w:rPr>
          <w:rFonts w:hint="eastAsia" w:ascii="宋体" w:hAnsi="宋体" w:cs="宋体"/>
          <w:b/>
          <w:sz w:val="28"/>
          <w:szCs w:val="28"/>
          <w:highlight w:val="none"/>
        </w:rPr>
        <w:br w:type="page"/>
      </w:r>
    </w:p>
    <w:p>
      <w:pPr>
        <w:jc w:val="center"/>
        <w:rPr>
          <w:rFonts w:hint="eastAsia" w:ascii="宋体" w:hAnsi="宋体" w:cs="宋体"/>
          <w:b/>
          <w:sz w:val="28"/>
          <w:szCs w:val="28"/>
          <w:highlight w:val="none"/>
        </w:rPr>
      </w:pPr>
      <w:r>
        <w:rPr>
          <w:rFonts w:hint="eastAsia" w:ascii="宋体" w:hAnsi="宋体" w:cs="宋体"/>
          <w:b/>
          <w:sz w:val="28"/>
          <w:szCs w:val="28"/>
          <w:highlight w:val="none"/>
          <w:lang w:val="en-US" w:eastAsia="zh-CN"/>
        </w:rPr>
        <w:t>法库县公共管理与公共服务</w:t>
      </w:r>
      <w:r>
        <w:rPr>
          <w:rFonts w:hint="eastAsia" w:ascii="宋体" w:hAnsi="宋体" w:cs="宋体"/>
          <w:b/>
          <w:sz w:val="28"/>
          <w:szCs w:val="28"/>
          <w:highlight w:val="none"/>
        </w:rPr>
        <w:t>用地级别范围说明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5" w:hRule="atLeast"/>
          <w:tblHeader/>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级别范围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一级</w:t>
            </w:r>
          </w:p>
        </w:tc>
        <w:tc>
          <w:tcPr>
            <w:tcW w:w="13336" w:type="dxa"/>
            <w:shd w:val="clear" w:color="auto" w:fill="auto"/>
            <w:vAlign w:val="center"/>
          </w:tcPr>
          <w:p>
            <w:pPr>
              <w:keepNext w:val="0"/>
              <w:keepLines w:val="0"/>
              <w:pageBreakBefore w:val="0"/>
              <w:suppressLineNumbers w:val="0"/>
              <w:tabs>
                <w:tab w:val="left" w:pos="2715"/>
              </w:tabs>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起边门街与龙山路交汇处</w:t>
            </w:r>
            <w:r>
              <w:rPr>
                <w:rFonts w:hint="default" w:ascii="宋体" w:hAnsi="宋体" w:eastAsia="宋体" w:cs="宋体"/>
                <w:color w:val="auto"/>
                <w:sz w:val="21"/>
                <w:szCs w:val="21"/>
              </w:rPr>
              <w:t>-龙山路-</w:t>
            </w:r>
            <w:r>
              <w:rPr>
                <w:rFonts w:hint="eastAsia" w:ascii="宋体" w:hAnsi="宋体" w:cs="宋体"/>
                <w:color w:val="auto"/>
                <w:sz w:val="21"/>
                <w:szCs w:val="21"/>
                <w:lang w:val="en-US" w:eastAsia="zh-CN"/>
              </w:rPr>
              <w:t>幸福街</w:t>
            </w:r>
            <w:r>
              <w:rPr>
                <w:rFonts w:hint="default" w:ascii="宋体" w:hAnsi="宋体" w:eastAsia="宋体" w:cs="宋体"/>
                <w:color w:val="auto"/>
                <w:sz w:val="21"/>
                <w:szCs w:val="21"/>
              </w:rPr>
              <w:t>-</w:t>
            </w:r>
            <w:r>
              <w:rPr>
                <w:rFonts w:hint="eastAsia" w:ascii="宋体" w:hAnsi="宋体" w:cs="宋体"/>
                <w:color w:val="auto"/>
                <w:sz w:val="21"/>
                <w:szCs w:val="21"/>
                <w:lang w:val="en-US" w:eastAsia="zh-CN"/>
              </w:rPr>
              <w:t>天阔路-团结街-尚品路-边门街-边门街与龙山路交汇处止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二级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起边门街西侧规划路与龙山西路交汇处</w:t>
            </w:r>
            <w:r>
              <w:rPr>
                <w:rFonts w:hint="default" w:ascii="宋体" w:hAnsi="宋体" w:eastAsia="宋体" w:cs="宋体"/>
                <w:color w:val="auto"/>
                <w:sz w:val="21"/>
                <w:szCs w:val="21"/>
              </w:rPr>
              <w:t>-龙山</w:t>
            </w:r>
            <w:r>
              <w:rPr>
                <w:rFonts w:hint="eastAsia" w:ascii="宋体" w:hAnsi="宋体" w:cs="宋体"/>
                <w:color w:val="auto"/>
                <w:sz w:val="21"/>
                <w:szCs w:val="21"/>
                <w:lang w:val="en-US" w:eastAsia="zh-CN"/>
              </w:rPr>
              <w:t>西</w:t>
            </w:r>
            <w:r>
              <w:rPr>
                <w:rFonts w:hint="default" w:ascii="宋体" w:hAnsi="宋体" w:eastAsia="宋体" w:cs="宋体"/>
                <w:color w:val="auto"/>
                <w:sz w:val="21"/>
                <w:szCs w:val="21"/>
              </w:rPr>
              <w:t>路-</w:t>
            </w:r>
            <w:r>
              <w:rPr>
                <w:rFonts w:hint="eastAsia" w:ascii="宋体" w:hAnsi="宋体" w:cs="宋体"/>
                <w:color w:val="auto"/>
                <w:sz w:val="21"/>
                <w:szCs w:val="21"/>
                <w:lang w:val="en-US" w:eastAsia="zh-CN"/>
              </w:rPr>
              <w:t>边门街</w:t>
            </w:r>
            <w:r>
              <w:rPr>
                <w:rFonts w:hint="default" w:ascii="宋体" w:hAnsi="宋体" w:eastAsia="宋体" w:cs="宋体"/>
                <w:color w:val="auto"/>
                <w:sz w:val="21"/>
                <w:szCs w:val="21"/>
              </w:rPr>
              <w:t>-</w:t>
            </w:r>
            <w:r>
              <w:rPr>
                <w:rFonts w:hint="eastAsia" w:ascii="宋体" w:hAnsi="宋体" w:cs="宋体"/>
                <w:color w:val="auto"/>
                <w:sz w:val="21"/>
                <w:szCs w:val="21"/>
                <w:lang w:val="en-US" w:eastAsia="zh-CN"/>
              </w:rPr>
              <w:t>边外路-东外环路-南外环路-起边门街西侧规划路-边门街西侧规划路与龙山西路交汇处止（不含一级地区）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起G505与科勒大街交汇处-科勒大街-苏泊尔大道-村路-G203-周地沟村-东沟村-东门村-羊草沟村-王家村-桃山村-东新城堡村-北门村-大泉眼村-四台子村-G505-G505与科勒大街交汇处止（不含一级二级地区，上述界线描述中用村名表示级别范围界线的包括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吉祥街道：马家店村（除三级区域）、榆树底村、红土砬子村、小房申村、黄花岭村、马家店林场、种畜场；</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龙山街道：下洼子村、黄花岭村、三泉村、团山子村、后魏家楼村（以上五村除三级区域）、西新城堡村、哥哥府村、任家窝堡村、孤家子村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五台子村、古井子村、秋皮沟村、前魏家楼村；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孟家镇：四家子村、徐三家子村、孟家村、赵家村、西大房申村；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十间房镇：十间房村、小荒地村、赵贝堡村、尚屯村、李贝堡村、山咀子村、后孤家子村、尚屯水库东岸及北岸；</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大孤家子镇：大孤家子村、小岭村、拉玛桥村、大岭村、路家房申村、大孤家子农场；</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依牛堡子镇：椴树沟村、大粮洞村、西拉马河子村、东拉马河子村、崔家屯村、黎巴彦村、西獐草沟村、依牛堡子村、四家子村、贺尔海村、花牛堡子村；</w:t>
            </w:r>
          </w:p>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秀水河子镇：秀水河子村、前秀水河子村（不含一级、二级和三级地区）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18"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五级</w:t>
            </w:r>
          </w:p>
        </w:tc>
        <w:tc>
          <w:tcPr>
            <w:tcW w:w="13336" w:type="dxa"/>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一至四级以外地区</w:t>
            </w:r>
          </w:p>
        </w:tc>
      </w:tr>
    </w:tbl>
    <w:p>
      <w:pPr>
        <w:jc w:val="center"/>
        <w:rPr>
          <w:rFonts w:hint="eastAsia" w:ascii="宋体" w:hAnsi="宋体" w:cs="宋体"/>
          <w:b/>
          <w:sz w:val="28"/>
          <w:szCs w:val="28"/>
          <w:highlight w:val="none"/>
        </w:rPr>
        <w:sectPr>
          <w:pgSz w:w="16838" w:h="11906" w:orient="landscape"/>
          <w:pgMar w:top="1800" w:right="1440" w:bottom="1800" w:left="1440" w:header="851" w:footer="992" w:gutter="0"/>
          <w:cols w:space="425" w:num="1"/>
          <w:docGrid w:type="lines" w:linePitch="312" w:charSpace="0"/>
        </w:sectPr>
      </w:pPr>
    </w:p>
    <w:p>
      <w:pPr>
        <w:spacing w:line="360" w:lineRule="auto"/>
        <w:ind w:left="0" w:leftChars="0" w:firstLine="0" w:firstLineChars="0"/>
        <w:rPr>
          <w:rFonts w:hint="eastAsia" w:ascii="仿宋" w:hAnsi="仿宋" w:eastAsia="仿宋" w:cs="仿宋"/>
          <w:color w:val="222222"/>
          <w:spacing w:val="-12"/>
          <w:sz w:val="30"/>
          <w:szCs w:val="30"/>
          <w:lang w:val="en-US" w:eastAsia="zh-CN"/>
        </w:rPr>
      </w:pPr>
      <w:r>
        <w:rPr>
          <w:rFonts w:hint="eastAsia" w:ascii="仿宋" w:hAnsi="仿宋" w:eastAsia="仿宋" w:cs="仿宋"/>
          <w:color w:val="222222"/>
          <w:spacing w:val="-12"/>
          <w:sz w:val="30"/>
          <w:szCs w:val="30"/>
        </w:rPr>
        <w:t>附件</w:t>
      </w:r>
      <w:r>
        <w:rPr>
          <w:rFonts w:hint="eastAsia" w:ascii="仿宋" w:hAnsi="仿宋" w:eastAsia="仿宋" w:cs="仿宋"/>
          <w:color w:val="222222"/>
          <w:spacing w:val="-12"/>
          <w:sz w:val="30"/>
          <w:szCs w:val="30"/>
          <w:lang w:val="en-US" w:eastAsia="zh-CN"/>
        </w:rPr>
        <w:t>5</w:t>
      </w:r>
    </w:p>
    <w:p>
      <w:pPr>
        <w:spacing w:line="360" w:lineRule="auto"/>
        <w:ind w:left="0" w:leftChars="0" w:firstLine="0" w:firstLineChars="0"/>
        <w:rPr>
          <w:rFonts w:hint="eastAsia" w:ascii="仿宋" w:hAnsi="仿宋" w:eastAsia="仿宋" w:cs="仿宋"/>
          <w:color w:val="222222"/>
          <w:spacing w:val="-12"/>
          <w:sz w:val="30"/>
          <w:szCs w:val="30"/>
          <w:lang w:val="en-US" w:eastAsia="zh-CN"/>
        </w:rPr>
      </w:pPr>
    </w:p>
    <w:p>
      <w:pPr>
        <w:jc w:val="left"/>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（一）商业服务业用地级别及基准地价图</w:t>
      </w:r>
    </w:p>
    <w:p>
      <w:pPr>
        <w:jc w:val="center"/>
        <w:rPr>
          <w:rFonts w:hint="eastAsia" w:eastAsia="仿宋" w:cs="宋体"/>
          <w:lang w:eastAsia="zh-CN"/>
        </w:rPr>
      </w:pPr>
      <w:r>
        <w:rPr>
          <w:rFonts w:hint="eastAsia" w:eastAsia="仿宋" w:cs="宋体"/>
          <w:lang w:eastAsia="zh-CN"/>
        </w:rPr>
        <w:drawing>
          <wp:inline distT="0" distB="0" distL="114300" distR="114300">
            <wp:extent cx="5268595" cy="3721100"/>
            <wp:effectExtent l="0" t="0" r="8255" b="3175"/>
            <wp:docPr id="15" name="图片 15" descr="商服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商服用地"/>
                    <pic:cNvPicPr>
                      <a:picLocks noChangeAspect="1"/>
                    </pic:cNvPicPr>
                  </pic:nvPicPr>
                  <pic:blipFill>
                    <a:blip r:embed="rId7"/>
                    <a:stretch>
                      <a:fillRect/>
                    </a:stretch>
                  </pic:blipFill>
                  <pic:spPr>
                    <a:xfrm>
                      <a:off x="0" y="0"/>
                      <a:ext cx="5268595" cy="3721100"/>
                    </a:xfrm>
                    <a:prstGeom prst="rect">
                      <a:avLst/>
                    </a:prstGeom>
                  </pic:spPr>
                </pic:pic>
              </a:graphicData>
            </a:graphic>
          </wp:inline>
        </w:drawing>
      </w:r>
    </w:p>
    <w:p>
      <w:pPr>
        <w:rPr>
          <w:rFonts w:hint="eastAsia" w:eastAsia="仿宋" w:cs="宋体"/>
          <w:lang w:eastAsia="zh-CN"/>
        </w:rPr>
      </w:pPr>
      <w:r>
        <w:rPr>
          <w:rFonts w:hint="eastAsia" w:eastAsia="仿宋" w:cs="宋体"/>
          <w:lang w:eastAsia="zh-CN"/>
        </w:rPr>
        <w:br w:type="page"/>
      </w:r>
    </w:p>
    <w:p>
      <w:pPr>
        <w:spacing w:line="360" w:lineRule="auto"/>
        <w:ind w:left="0" w:leftChars="0" w:firstLine="0" w:firstLineChars="0"/>
        <w:rPr>
          <w:rFonts w:hint="eastAsia"/>
          <w:highlight w:val="yellow"/>
          <w:lang w:eastAsia="zh-CN"/>
        </w:rPr>
      </w:pPr>
      <w:r>
        <w:rPr>
          <w:rFonts w:hint="eastAsia" w:ascii="宋体" w:hAnsi="宋体" w:cs="宋体"/>
          <w:b/>
          <w:sz w:val="28"/>
          <w:szCs w:val="28"/>
          <w:highlight w:val="none"/>
          <w:lang w:val="en-US" w:eastAsia="zh-CN"/>
        </w:rPr>
        <w:t>（二）居住用地级别及基准地价图</w:t>
      </w: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drawing>
          <wp:inline distT="0" distB="0" distL="114300" distR="114300">
            <wp:extent cx="5268595" cy="3721100"/>
            <wp:effectExtent l="0" t="0" r="8255" b="3175"/>
            <wp:docPr id="23" name="图片 23" descr="居住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居住用地"/>
                    <pic:cNvPicPr>
                      <a:picLocks noChangeAspect="1"/>
                    </pic:cNvPicPr>
                  </pic:nvPicPr>
                  <pic:blipFill>
                    <a:blip r:embed="rId8"/>
                    <a:stretch>
                      <a:fillRect/>
                    </a:stretch>
                  </pic:blipFill>
                  <pic:spPr>
                    <a:xfrm>
                      <a:off x="0" y="0"/>
                      <a:ext cx="5268595" cy="3721100"/>
                    </a:xfrm>
                    <a:prstGeom prst="rect">
                      <a:avLst/>
                    </a:prstGeom>
                  </pic:spPr>
                </pic:pic>
              </a:graphicData>
            </a:graphic>
          </wp:inline>
        </w:drawing>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spacing w:line="360" w:lineRule="auto"/>
        <w:ind w:left="0" w:leftChars="0" w:firstLine="0" w:firstLineChars="0"/>
        <w:rPr>
          <w:rFonts w:hint="eastAsia" w:ascii="仿宋" w:hAnsi="仿宋" w:eastAsia="仿宋" w:cs="仿宋"/>
          <w:color w:val="222222"/>
          <w:spacing w:val="-12"/>
          <w:sz w:val="30"/>
          <w:szCs w:val="30"/>
          <w:lang w:eastAsia="zh-CN"/>
        </w:rPr>
      </w:pPr>
      <w:r>
        <w:rPr>
          <w:rFonts w:hint="eastAsia" w:ascii="宋体" w:hAnsi="宋体" w:cs="宋体"/>
          <w:b/>
          <w:sz w:val="28"/>
          <w:szCs w:val="28"/>
          <w:highlight w:val="none"/>
          <w:lang w:val="en-US" w:eastAsia="zh-CN"/>
        </w:rPr>
        <w:t>（三）工业用地级别及基准地价图</w:t>
      </w:r>
    </w:p>
    <w:p>
      <w:pPr>
        <w:numPr>
          <w:ilvl w:val="0"/>
          <w:numId w:val="0"/>
        </w:numPr>
        <w:jc w:val="both"/>
        <w:rPr>
          <w:rFonts w:hint="eastAsia" w:eastAsia="仿宋" w:cs="宋体"/>
          <w:lang w:eastAsia="zh-CN"/>
        </w:rPr>
      </w:pPr>
      <w:r>
        <w:rPr>
          <w:rFonts w:hint="eastAsia" w:eastAsia="仿宋" w:cs="宋体"/>
          <w:lang w:eastAsia="zh-CN"/>
        </w:rPr>
        <w:drawing>
          <wp:inline distT="0" distB="0" distL="114300" distR="114300">
            <wp:extent cx="5268595" cy="3721100"/>
            <wp:effectExtent l="0" t="0" r="8255" b="3175"/>
            <wp:docPr id="24" name="图片 24" descr="工业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工业用地"/>
                    <pic:cNvPicPr>
                      <a:picLocks noChangeAspect="1"/>
                    </pic:cNvPicPr>
                  </pic:nvPicPr>
                  <pic:blipFill>
                    <a:blip r:embed="rId9"/>
                    <a:stretch>
                      <a:fillRect/>
                    </a:stretch>
                  </pic:blipFill>
                  <pic:spPr>
                    <a:xfrm>
                      <a:off x="0" y="0"/>
                      <a:ext cx="5268595" cy="3721100"/>
                    </a:xfrm>
                    <a:prstGeom prst="rect">
                      <a:avLst/>
                    </a:prstGeom>
                  </pic:spPr>
                </pic:pic>
              </a:graphicData>
            </a:graphic>
          </wp:inline>
        </w:drawing>
      </w:r>
    </w:p>
    <w:p>
      <w:pPr>
        <w:rPr>
          <w:rFonts w:hint="eastAsia" w:eastAsia="仿宋" w:cs="宋体"/>
          <w:lang w:eastAsia="zh-CN"/>
        </w:rPr>
      </w:pPr>
      <w:r>
        <w:rPr>
          <w:rFonts w:hint="eastAsia" w:eastAsia="仿宋" w:cs="宋体"/>
          <w:lang w:eastAsia="zh-CN"/>
        </w:rPr>
        <w:br w:type="page"/>
      </w:r>
    </w:p>
    <w:p>
      <w:pPr>
        <w:spacing w:line="360" w:lineRule="auto"/>
        <w:ind w:left="0" w:leftChars="0" w:firstLine="0" w:firstLineChars="0"/>
        <w:rPr>
          <w:rFonts w:hint="eastAsia" w:ascii="仿宋" w:hAnsi="仿宋" w:eastAsia="仿宋" w:cs="仿宋"/>
          <w:color w:val="222222"/>
          <w:spacing w:val="-12"/>
          <w:sz w:val="30"/>
          <w:szCs w:val="30"/>
          <w:lang w:eastAsia="zh-CN"/>
        </w:rPr>
      </w:pPr>
      <w:r>
        <w:rPr>
          <w:rFonts w:hint="eastAsia" w:ascii="宋体" w:hAnsi="宋体" w:cs="宋体"/>
          <w:b/>
          <w:sz w:val="28"/>
          <w:szCs w:val="28"/>
          <w:highlight w:val="none"/>
          <w:lang w:val="en-US" w:eastAsia="zh-CN"/>
        </w:rPr>
        <w:t>（四）公共管理与公共服务用地级别及基准地价图</w:t>
      </w:r>
    </w:p>
    <w:p>
      <w:pPr>
        <w:numPr>
          <w:ilvl w:val="0"/>
          <w:numId w:val="0"/>
        </w:numPr>
        <w:jc w:val="both"/>
        <w:rPr>
          <w:rFonts w:hint="eastAsia" w:eastAsia="仿宋" w:cs="宋体"/>
          <w:lang w:eastAsia="zh-CN"/>
        </w:rPr>
      </w:pPr>
      <w:r>
        <w:rPr>
          <w:rFonts w:hint="eastAsia" w:ascii="宋体" w:hAnsi="宋体" w:eastAsia="宋体" w:cs="宋体"/>
          <w:b/>
          <w:bCs/>
          <w:kern w:val="0"/>
          <w:sz w:val="21"/>
          <w:szCs w:val="21"/>
          <w:lang w:eastAsia="zh-CN"/>
        </w:rPr>
        <w:drawing>
          <wp:inline distT="0" distB="0" distL="114300" distR="114300">
            <wp:extent cx="5268595" cy="3721100"/>
            <wp:effectExtent l="0" t="0" r="8255" b="3175"/>
            <wp:docPr id="28" name="图片 28" descr="公服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公服用地"/>
                    <pic:cNvPicPr>
                      <a:picLocks noChangeAspect="1"/>
                    </pic:cNvPicPr>
                  </pic:nvPicPr>
                  <pic:blipFill>
                    <a:blip r:embed="rId10"/>
                    <a:stretch>
                      <a:fillRect/>
                    </a:stretch>
                  </pic:blipFill>
                  <pic:spPr>
                    <a:xfrm>
                      <a:off x="0" y="0"/>
                      <a:ext cx="5268595" cy="37211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838"/>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MDkwZjZiODRhY2M4Y2Q1ZDExNWNlNjZkMTRiNGEifQ=="/>
  </w:docVars>
  <w:rsids>
    <w:rsidRoot w:val="11704868"/>
    <w:rsid w:val="01954B1C"/>
    <w:rsid w:val="06B52C18"/>
    <w:rsid w:val="0CB7359E"/>
    <w:rsid w:val="0EF461CE"/>
    <w:rsid w:val="10C17728"/>
    <w:rsid w:val="11704868"/>
    <w:rsid w:val="11830991"/>
    <w:rsid w:val="162616E5"/>
    <w:rsid w:val="16B571A3"/>
    <w:rsid w:val="23817253"/>
    <w:rsid w:val="2648712B"/>
    <w:rsid w:val="28225C0D"/>
    <w:rsid w:val="29AC0529"/>
    <w:rsid w:val="2C340FF1"/>
    <w:rsid w:val="2FD81066"/>
    <w:rsid w:val="32CA42CE"/>
    <w:rsid w:val="384202DC"/>
    <w:rsid w:val="3A95120E"/>
    <w:rsid w:val="42CC1549"/>
    <w:rsid w:val="56FE485C"/>
    <w:rsid w:val="57247F53"/>
    <w:rsid w:val="5CCE386C"/>
    <w:rsid w:val="5D7B626B"/>
    <w:rsid w:val="5F674CE0"/>
    <w:rsid w:val="62866A1E"/>
    <w:rsid w:val="6380596D"/>
    <w:rsid w:val="73C42772"/>
    <w:rsid w:val="78C61792"/>
    <w:rsid w:val="79FB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1442</Words>
  <Characters>1853</Characters>
  <Lines>0</Lines>
  <Paragraphs>0</Paragraphs>
  <TotalTime>9</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2025-03-11T03:41:00Z</dcterms:created>
  <dc:creator>Pufff</dc:creator>
  <cp:lastModifiedBy>Sunny</cp:lastModifiedBy>
  <dcterms:modified xsi:type="dcterms:W3CDTF">2025-05-09T06:56:35Z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B52D3753868245AF9153E1AB2C47028A_13</vt:lpwstr>
  </property>
  <property fmtid="{D5CDD505-2E9C-101B-9397-08002B2CF9AE}" pid="4" name="KSOTemplateDocerSaveRecord">
    <vt:lpwstr>eyJoZGlkIjoiNWVhNjM1YWQ1Y2I2MDU3ZTg0ZmNkNzg2ZGJlZjhkMTYiLCJ1c2VySWQiOiIyNDc0ODQ3MDgifQ==</vt:lpwstr>
  </property>
</Properties>
</file>