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94B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法库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eastAsia="en-US"/>
        </w:rPr>
        <w:t>县202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eastAsia="en-US"/>
        </w:rPr>
        <w:t>年东北黑土地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保护利用项目</w:t>
      </w:r>
    </w:p>
    <w:p w14:paraId="3905E03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实施方案</w:t>
      </w:r>
    </w:p>
    <w:p w14:paraId="00A0516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63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highlight w:val="none"/>
          <w:lang w:val="en-US" w:eastAsia="en-US" w:bidi="ar-SA"/>
        </w:rPr>
      </w:pPr>
    </w:p>
    <w:p w14:paraId="4502E9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按照《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辽宁省农业农村厅办公室关于做好2025年东北黑土地保护利用项目实施工作的通知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》(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辽农办田发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〔2025〕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9号)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为落实好2025年法库县东北黑土地保护利用项目，切实发挥财政资金使用效益，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结合我县实际，制定本方案。</w:t>
      </w:r>
    </w:p>
    <w:p w14:paraId="2CD6AC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一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目标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任务</w:t>
      </w:r>
    </w:p>
    <w:bookmarkEnd w:id="0"/>
    <w:p w14:paraId="5E0E0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FF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2025年，法库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东北黑土地保护利用项目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任务面积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万亩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每个实施区域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能够相对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集中连片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最终以实际实施面积为准。</w:t>
      </w:r>
    </w:p>
    <w:p w14:paraId="34DE9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二、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实施区域和面积</w:t>
      </w:r>
    </w:p>
    <w:p w14:paraId="21B6A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综合考虑全县耕地面积、连片程度、项目实施条件、往年项目实施情况及农户意愿等因素，确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定在我县5个乡（镇）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的旱地上实施(详见附件1)。实施过程中如遇特殊情况，可根据各乡（镇）实际进行调整，最终以实际实施面积为准。</w:t>
      </w:r>
    </w:p>
    <w:p w14:paraId="4318C9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技术措施</w:t>
      </w:r>
    </w:p>
    <w:p w14:paraId="56D649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坚持用养结合、因地制宜、综合施策，结合农田工程措施，以粪肥堆沤还田、秸秆还田、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旋耕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深翻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深松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等鼓励引导农民自主）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整地为主的农艺措施，培育黑土地肥沃耕作层，提高项目区黑土耕地质量。以畜禽粪便等为主要原料堆沤有机肥并施用，通过“政府补贴+农户自主施用”的方式，鼓励和带动项目区农户增加有机肥施用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量；适宜地块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遵循当地农户的农业生产习惯，在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旱地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或水田进行旋耕或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深松整地作业。</w:t>
      </w:r>
    </w:p>
    <w:p w14:paraId="1819D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en-US"/>
        </w:rPr>
        <w:t>、实施方式</w:t>
      </w:r>
    </w:p>
    <w:p w14:paraId="6DCE1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根据任务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面积、资金额度、中标价格、所需堆沤肥数量等情况，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履行相关程序，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就地就近择优选定供货企业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并签订供货及服务合同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组织供货企业开展堆沤肥还田作业。秸秆还田、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旋耕或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深松整地等措施结合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我县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实际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及农业生产习惯，由农户自主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实施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147A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、重点工作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及实施要求</w:t>
      </w:r>
    </w:p>
    <w:p w14:paraId="3DE37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(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)加强统筹实施。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我县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按照“既衔接配合，又避免重复”的原则，围绕黑土地保护工程年度目标任务，加强东北黑土地保护利用项目与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农机旋耕、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农机深松、深翻整地等项目衔接实施，共同推进黑土地保护利用，确保完成项目任务。</w:t>
      </w:r>
    </w:p>
    <w:p w14:paraId="6598A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(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)加强项目管理。通过项目核验、调研指导、信息化监测、群众监督等方式，加强对堆沤肥质量、机械作业等关键环节的管理，确保实施质量与效果可追溯可核验，发现问题及时整改。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在肥料质量方面，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依据《农业废弃物堆沤肥料生产技术规程》(DB21/T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3419),开展堆沤肥产品质量抽检，确保还田有机肥质量达标。在县级抽检基础上，省农业农村厅开展堆沤肥产品质量省级抽检。要加大项目信息公开力度，充分发挥农户、新型农业经营主体、村集体在项目实施和验收等管理工作中的作用。</w:t>
      </w:r>
    </w:p>
    <w:p w14:paraId="20BDD3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(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)严格项目验收。按照《辽宁省黑土地保护利用项目验收管理办法(试行)》要求，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在年度任务实施完成后，及时做好项目验收及总结工作。</w:t>
      </w:r>
    </w:p>
    <w:p w14:paraId="6E518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做好监测评价。</w:t>
      </w:r>
    </w:p>
    <w:p w14:paraId="148F53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在项目区布设黑土地耕地质量调查评价点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15个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，及时采集项目实施前后土样，分析化验，收集数据信息，编制监测评价报告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00EFB2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补助标准与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  <w:t>资金分配使用</w:t>
      </w:r>
    </w:p>
    <w:p w14:paraId="3932BA97">
      <w:pPr>
        <w:spacing w:after="0" w:line="6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法库县2025年东北黑土地保护利用项目资金1500万元，来源于中央财政专项资金，实行提级管理，全部下达至省农业农村发展服务中心，主要用于堆沤肥还田、省级质量抽检、上图入库等方面支出。县级财政不承担垫资、借款、担保、承诺等责任，若省级资金未能及时拨付，项目相应顺延，县级政府不承担违约责任。法库县自筹资金55万元，分别用于项目监理服务30万、项目第三方验收服务10万元、耕地质量评价及培训15万元。</w:t>
      </w:r>
    </w:p>
    <w:p w14:paraId="6AF47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en-US"/>
        </w:rPr>
        <w:t>、保障措施</w:t>
      </w:r>
    </w:p>
    <w:p w14:paraId="17C82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(一)加强组织领导。成立由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法库县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主要领导任组长的东北黑土地保护利用项目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推进落实工作小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组,加强统筹，强化措施，落实责任。县政府为项目实施责任主体，全面落实项目任务和要求。县农业农村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与供货企业签订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供货及服务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合同，明确任务，压实责任。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将项目列入县级审计计划，对实施全过程进行审计监督。</w:t>
      </w:r>
    </w:p>
    <w:p w14:paraId="5D7662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eastAsia="en-US"/>
        </w:rPr>
        <w:t>(二)强化投入保障。充分发挥中央资金的引导带动作用，积极争取地方资金投入，将项目监理、技术指导培训、监测评价、项目验收等资金列入财政预算，保障项目顺利实施。多渠道筹集资金，加大保护力度。</w:t>
      </w:r>
    </w:p>
    <w:p w14:paraId="0A9C4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(三)加快实施进度。抢抓农时，加快推进有机肥抛洒、秸秆还田、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旋耕、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eastAsia="en-US"/>
        </w:rPr>
        <w:t>深松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整地等田间作业。切实加强对项目实施的日常监管，及时解决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实施中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遇到的问题。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要积极组织、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措施有力、保护效果明显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同时按要求配合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审计、监督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等工作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。</w:t>
      </w:r>
    </w:p>
    <w:p w14:paraId="230DA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(四)强化指导服务。依托教学、科研、推广等单位的技术优势，成立专家指导组,加强工作指导。组织成立技术指导组，在关键农时季节，加大对基层农技人员、新型农业经营主体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及种植大户等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  <w:t>的指导培训，解读黑土地保护法规政策，培养田间地头的“土专家”,因地制宜加强技术组装集成应用。积极宣传推广一批农民看着好、用得起、效果佳的技术，多角度全方位展示黑土地保护利用效益，提升农户黑土地保护意识。</w:t>
      </w:r>
    </w:p>
    <w:p w14:paraId="7B13C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5C4D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18" w:leftChars="304" w:hanging="1280" w:hangingChars="4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.法库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东北黑土地保护利用项目任务落实表</w:t>
      </w:r>
    </w:p>
    <w:p w14:paraId="31288EFB">
      <w:pPr>
        <w:tabs>
          <w:tab w:val="left" w:pos="2009"/>
        </w:tabs>
        <w:bidi w:val="0"/>
        <w:jc w:val="left"/>
        <w:rPr>
          <w:rFonts w:hint="eastAsia"/>
          <w:lang w:val="en-US" w:eastAsia="zh-CN"/>
        </w:rPr>
      </w:pPr>
    </w:p>
    <w:p w14:paraId="673FC457">
      <w:pPr>
        <w:widowControl/>
        <w:kinsoku w:val="0"/>
        <w:autoSpaceDE w:val="0"/>
        <w:autoSpaceDN w:val="0"/>
        <w:adjustRightInd w:val="0"/>
        <w:snapToGrid w:val="0"/>
        <w:spacing w:before="101" w:line="345" w:lineRule="auto"/>
        <w:ind w:right="231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</w:pPr>
    </w:p>
    <w:p w14:paraId="70688D15">
      <w:pPr>
        <w:widowControl/>
        <w:kinsoku w:val="0"/>
        <w:autoSpaceDE w:val="0"/>
        <w:autoSpaceDN w:val="0"/>
        <w:adjustRightInd w:val="0"/>
        <w:snapToGrid w:val="0"/>
        <w:spacing w:before="101" w:line="345" w:lineRule="auto"/>
        <w:ind w:right="231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</w:pPr>
    </w:p>
    <w:p w14:paraId="2B3C4A73">
      <w:pPr>
        <w:widowControl/>
        <w:kinsoku w:val="0"/>
        <w:autoSpaceDE w:val="0"/>
        <w:autoSpaceDN w:val="0"/>
        <w:adjustRightInd w:val="0"/>
        <w:snapToGrid w:val="0"/>
        <w:spacing w:before="101" w:line="345" w:lineRule="auto"/>
        <w:ind w:right="231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</w:pPr>
    </w:p>
    <w:p w14:paraId="5DD0FA5A">
      <w:pPr>
        <w:widowControl/>
        <w:kinsoku w:val="0"/>
        <w:autoSpaceDE w:val="0"/>
        <w:autoSpaceDN w:val="0"/>
        <w:adjustRightInd w:val="0"/>
        <w:snapToGrid w:val="0"/>
        <w:spacing w:before="101" w:line="345" w:lineRule="auto"/>
        <w:ind w:right="23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highlight w:val="none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62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44"/>
          <w:kern w:val="0"/>
          <w:sz w:val="31"/>
          <w:szCs w:val="31"/>
          <w:highlight w:val="none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highlight w:val="none"/>
          <w:lang w:eastAsia="en-US"/>
        </w:rPr>
        <w:t>1</w:t>
      </w:r>
    </w:p>
    <w:p w14:paraId="04A3670D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5FE0FCAE">
      <w:pPr>
        <w:tabs>
          <w:tab w:val="left" w:pos="2009"/>
        </w:tabs>
        <w:bidi w:val="0"/>
        <w:jc w:val="center"/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  <w:lang w:val="en-US" w:eastAsia="zh-CN"/>
        </w:rPr>
        <w:t>法库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  <w:lang w:eastAsia="en-US"/>
        </w:rPr>
        <w:t>县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  <w:lang w:eastAsia="en-US"/>
        </w:rPr>
        <w:t>东北黑土地保护利用项目任务落实表</w:t>
      </w:r>
    </w:p>
    <w:tbl>
      <w:tblPr>
        <w:tblStyle w:val="4"/>
        <w:tblW w:w="859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057"/>
        <w:gridCol w:w="3659"/>
        <w:gridCol w:w="1640"/>
      </w:tblGrid>
      <w:tr w14:paraId="7193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3" w:type="dxa"/>
            <w:tcBorders>
              <w:bottom w:val="nil"/>
            </w:tcBorders>
            <w:noWrap w:val="0"/>
            <w:vAlign w:val="center"/>
          </w:tcPr>
          <w:p w14:paraId="01525AC3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57" w:type="dxa"/>
            <w:tcBorders>
              <w:bottom w:val="nil"/>
            </w:tcBorders>
            <w:noWrap w:val="0"/>
            <w:vAlign w:val="center"/>
          </w:tcPr>
          <w:p w14:paraId="001FE662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计划实施乡镇</w:t>
            </w:r>
          </w:p>
        </w:tc>
        <w:tc>
          <w:tcPr>
            <w:tcW w:w="3659" w:type="dxa"/>
            <w:noWrap w:val="0"/>
            <w:vAlign w:val="center"/>
          </w:tcPr>
          <w:p w14:paraId="4DF8AD57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计划实施面积(亩)</w:t>
            </w:r>
          </w:p>
        </w:tc>
        <w:tc>
          <w:tcPr>
            <w:tcW w:w="1640" w:type="dxa"/>
            <w:tcBorders>
              <w:bottom w:val="nil"/>
            </w:tcBorders>
            <w:noWrap w:val="0"/>
            <w:vAlign w:val="center"/>
          </w:tcPr>
          <w:p w14:paraId="229935DF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CB6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43" w:type="dxa"/>
            <w:noWrap w:val="0"/>
            <w:vAlign w:val="center"/>
          </w:tcPr>
          <w:p w14:paraId="06DDD479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 w14:paraId="44F4EF9F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叶茂台镇</w:t>
            </w:r>
          </w:p>
        </w:tc>
        <w:tc>
          <w:tcPr>
            <w:tcW w:w="3659" w:type="dxa"/>
            <w:noWrap w:val="0"/>
            <w:vAlign w:val="center"/>
          </w:tcPr>
          <w:p w14:paraId="742D5602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40000</w:t>
            </w:r>
          </w:p>
        </w:tc>
        <w:tc>
          <w:tcPr>
            <w:tcW w:w="1640" w:type="dxa"/>
            <w:noWrap w:val="0"/>
            <w:vAlign w:val="center"/>
          </w:tcPr>
          <w:p w14:paraId="6D885F23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E1EA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43" w:type="dxa"/>
            <w:noWrap w:val="0"/>
            <w:vAlign w:val="center"/>
          </w:tcPr>
          <w:p w14:paraId="1D78561F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57" w:type="dxa"/>
            <w:noWrap w:val="0"/>
            <w:vAlign w:val="center"/>
          </w:tcPr>
          <w:p w14:paraId="498AC5FB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秀水河子镇</w:t>
            </w:r>
          </w:p>
        </w:tc>
        <w:tc>
          <w:tcPr>
            <w:tcW w:w="3659" w:type="dxa"/>
            <w:noWrap w:val="0"/>
            <w:vAlign w:val="center"/>
          </w:tcPr>
          <w:p w14:paraId="6D28C629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50000</w:t>
            </w:r>
          </w:p>
        </w:tc>
        <w:tc>
          <w:tcPr>
            <w:tcW w:w="1640" w:type="dxa"/>
            <w:noWrap w:val="0"/>
            <w:vAlign w:val="center"/>
          </w:tcPr>
          <w:p w14:paraId="3FE7F685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F37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43" w:type="dxa"/>
            <w:noWrap w:val="0"/>
            <w:vAlign w:val="center"/>
          </w:tcPr>
          <w:p w14:paraId="4180EBC4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57" w:type="dxa"/>
            <w:noWrap w:val="0"/>
            <w:vAlign w:val="center"/>
          </w:tcPr>
          <w:p w14:paraId="5EF6EACC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登仕堡子镇</w:t>
            </w:r>
          </w:p>
        </w:tc>
        <w:tc>
          <w:tcPr>
            <w:tcW w:w="3659" w:type="dxa"/>
            <w:noWrap w:val="0"/>
            <w:vAlign w:val="center"/>
          </w:tcPr>
          <w:p w14:paraId="087798B3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640" w:type="dxa"/>
            <w:noWrap w:val="0"/>
            <w:vAlign w:val="center"/>
          </w:tcPr>
          <w:p w14:paraId="1749099F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490B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noWrap w:val="0"/>
            <w:vAlign w:val="center"/>
          </w:tcPr>
          <w:p w14:paraId="1C114C6E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57" w:type="dxa"/>
            <w:noWrap w:val="0"/>
            <w:vAlign w:val="center"/>
          </w:tcPr>
          <w:p w14:paraId="73A7B599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大孤家子镇</w:t>
            </w:r>
          </w:p>
        </w:tc>
        <w:tc>
          <w:tcPr>
            <w:tcW w:w="3659" w:type="dxa"/>
            <w:noWrap w:val="0"/>
            <w:vAlign w:val="center"/>
          </w:tcPr>
          <w:p w14:paraId="20540481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640" w:type="dxa"/>
            <w:noWrap w:val="0"/>
            <w:vAlign w:val="center"/>
          </w:tcPr>
          <w:p w14:paraId="77933E68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201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43" w:type="dxa"/>
            <w:noWrap w:val="0"/>
            <w:vAlign w:val="center"/>
          </w:tcPr>
          <w:p w14:paraId="23D0D4D1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57" w:type="dxa"/>
            <w:noWrap w:val="0"/>
            <w:vAlign w:val="center"/>
          </w:tcPr>
          <w:p w14:paraId="0625B67F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十间房镇</w:t>
            </w:r>
          </w:p>
        </w:tc>
        <w:tc>
          <w:tcPr>
            <w:tcW w:w="3659" w:type="dxa"/>
            <w:noWrap w:val="0"/>
            <w:vAlign w:val="center"/>
          </w:tcPr>
          <w:p w14:paraId="1314D7E0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640" w:type="dxa"/>
            <w:noWrap w:val="0"/>
            <w:vAlign w:val="center"/>
          </w:tcPr>
          <w:p w14:paraId="4989C939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FCEC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300" w:type="dxa"/>
            <w:gridSpan w:val="2"/>
            <w:noWrap w:val="0"/>
            <w:vAlign w:val="center"/>
          </w:tcPr>
          <w:p w14:paraId="3A1F45C4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659" w:type="dxa"/>
            <w:noWrap w:val="0"/>
            <w:vAlign w:val="center"/>
          </w:tcPr>
          <w:p w14:paraId="31F9FECA">
            <w:pPr>
              <w:widowControl w:val="0"/>
              <w:spacing w:before="161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150000</w:t>
            </w:r>
          </w:p>
        </w:tc>
        <w:tc>
          <w:tcPr>
            <w:tcW w:w="1640" w:type="dxa"/>
            <w:noWrap w:val="0"/>
            <w:vAlign w:val="center"/>
          </w:tcPr>
          <w:p w14:paraId="1EEFF6F5">
            <w:pPr>
              <w:widowControl w:val="0"/>
              <w:spacing w:before="16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4A7EFF4">
      <w:pPr>
        <w:tabs>
          <w:tab w:val="left" w:pos="2009"/>
        </w:tabs>
        <w:bidi w:val="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注：实施过程中如遇特殊情况，根据各乡（镇）实际进行调整，最终以实际实施乡镇及面积为准。项目任务调整须由实施乡镇提出书面申请，经县农业农村局审核并报县政府批准后实施，调整结果报省农业农村厅备案。</w:t>
      </w:r>
    </w:p>
    <w:p w14:paraId="5195166A">
      <w:pPr>
        <w:tabs>
          <w:tab w:val="left" w:pos="2009"/>
        </w:tabs>
        <w:bidi w:val="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5FFA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214DC"/>
    <w:rsid w:val="187214DC"/>
    <w:rsid w:val="1C3B1844"/>
    <w:rsid w:val="28DA4193"/>
    <w:rsid w:val="298A7967"/>
    <w:rsid w:val="320443D3"/>
    <w:rsid w:val="3C682A67"/>
    <w:rsid w:val="73412411"/>
    <w:rsid w:val="7E40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1999</Words>
  <Characters>2072</Characters>
  <Lines>0</Lines>
  <Paragraphs>0</Paragraphs>
  <TotalTime>3</TotalTime>
  <ScaleCrop>false</ScaleCrop>
  <LinksUpToDate>false</LinksUpToDate>
  <CharactersWithSpaces>2075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2025-12-01T02:36:00Z</dcterms:created>
  <dc:creator>凌晨</dc:creator>
  <cp:lastModifiedBy>（农业农村局）总收发</cp:lastModifiedBy>
  <dcterms:modified xsi:type="dcterms:W3CDTF">2025-12-02T08:37:48Z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D9BAA038D15A4DA1AF65D8862F3623B5_13</vt:lpwstr>
  </property>
  <property fmtid="{D5CDD505-2E9C-101B-9397-08002B2CF9AE}" pid="4" name="KSOTemplateDocerSaveRecord">
    <vt:lpwstr>eyJoZGlkIjoiMWVlNjE3MDVhZmViOWY0NjVlODA5ZGE1NWEzZTQ0NjQiLCJ1c2VySWQiOiI0MzA0ODYyMjgifQ==</vt:lpwstr>
  </property>
</Properties>
</file>